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715-6k_gcl.htm"/>
      <w:bookmarkStart w:id="1" w:name="ksea03017156k_gc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Tai Seng Ave., #02-01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534119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+65 80427330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GCL Global Holdings Ltd issued a press release relating to acceptance of a strategic investment. A copy of the press release is being furnished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395"/>
        <w:gridCol w:w="60"/>
        <w:gridCol w:w="2975"/>
      </w:tblGrid>
      <w:tr>
        <w:trPr/>
        <w:tc>
          <w:tcPr>
            <w:tcW w:w="395" w:type="dxa"/>
            <w:tcBorders/>
            <w:vAlign w:val="center"/>
          </w:tcPr>
          <w:p>
            <w:pPr>
              <w:pStyle w:val="TableContents"/>
              <w:bidi w:val="0"/>
              <w:spacing w:before="0" w:after="283"/>
              <w:jc w:val="left"/>
              <w:rPr>
                <w:sz w:val="20"/>
              </w:rPr>
            </w:pPr>
            <w:r>
              <w:rPr>
                <w:sz w:val="20"/>
              </w:rPr>
              <w:t>99.1</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hyperlink w:anchor="ea030171501ex99-1.htm">
              <w:r>
                <w:rPr>
                  <w:rStyle w:val="InternetLink"/>
                  <w:sz w:val="20"/>
                </w:rPr>
                <w:t>Press release dated August 10, 2026.</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254" w:type="dxa"/>
        <w:jc w:val="left"/>
        <w:tblInd w:w="0" w:type="dxa"/>
        <w:tblLayout w:type="fixed"/>
        <w:tblCellMar>
          <w:top w:w="0" w:type="dxa"/>
          <w:left w:w="0" w:type="dxa"/>
          <w:bottom w:w="0" w:type="dxa"/>
          <w:right w:w="0" w:type="dxa"/>
        </w:tblCellMar>
      </w:tblPr>
      <w:tblGrid>
        <w:gridCol w:w="1970"/>
        <w:gridCol w:w="638"/>
        <w:gridCol w:w="1646"/>
      </w:tblGrid>
      <w:tr>
        <w:trPr/>
        <w:tc>
          <w:tcPr>
            <w:tcW w:w="1970" w:type="dxa"/>
            <w:tcBorders/>
            <w:vAlign w:val="center"/>
          </w:tcPr>
          <w:p>
            <w:pPr>
              <w:pStyle w:val="TableContents"/>
              <w:bidi w:val="0"/>
              <w:spacing w:before="0" w:after="283"/>
              <w:jc w:val="left"/>
              <w:rPr>
                <w:sz w:val="20"/>
              </w:rPr>
            </w:pPr>
            <w:r>
              <w:rPr>
                <w:sz w:val="20"/>
              </w:rPr>
              <w:t>Dated: August 12, 2026</w:t>
            </w:r>
          </w:p>
        </w:tc>
        <w:tc>
          <w:tcPr>
            <w:tcW w:w="638"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b/>
                <w:sz w:val="20"/>
              </w:rPr>
            </w:pPr>
            <w:r>
              <w:rPr>
                <w:b/>
                <w:sz w:val="20"/>
              </w:rPr>
              <w:t>GCL Global Holdings Ltd.</w:t>
            </w:r>
          </w:p>
        </w:tc>
      </w:tr>
      <w:tr>
        <w:trPr/>
        <w:tc>
          <w:tcPr>
            <w:tcW w:w="197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sz w:val="20"/>
              </w:rPr>
            </w:pPr>
            <w:r>
              <w:rPr>
                <w:sz w:val="20"/>
              </w:rPr>
              <w:t>By:</w:t>
            </w:r>
          </w:p>
        </w:tc>
        <w:tc>
          <w:tcPr>
            <w:tcW w:w="1646"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Sebastian Toke</w:t>
            </w:r>
          </w:p>
        </w:tc>
      </w:tr>
      <w:tr>
        <w:trPr/>
        <w:tc>
          <w:tcPr>
            <w:tcW w:w="197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sz w:val="20"/>
              </w:rPr>
            </w:pPr>
            <w:r>
              <w:rPr>
                <w:sz w:val="20"/>
              </w:rPr>
              <w:t>Name: </w:t>
            </w:r>
          </w:p>
        </w:tc>
        <w:tc>
          <w:tcPr>
            <w:tcW w:w="1646" w:type="dxa"/>
            <w:tcBorders/>
            <w:vAlign w:val="center"/>
          </w:tcPr>
          <w:p>
            <w:pPr>
              <w:pStyle w:val="TableContents"/>
              <w:bidi w:val="0"/>
              <w:spacing w:before="0" w:after="283"/>
              <w:jc w:val="left"/>
              <w:rPr>
                <w:sz w:val="20"/>
              </w:rPr>
            </w:pPr>
            <w:r>
              <w:rPr>
                <w:sz w:val="20"/>
              </w:rPr>
              <w:t>Sebastian Toke</w:t>
            </w:r>
          </w:p>
        </w:tc>
      </w:tr>
      <w:tr>
        <w:trPr/>
        <w:tc>
          <w:tcPr>
            <w:tcW w:w="197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sz w:val="20"/>
              </w:rPr>
            </w:pPr>
            <w:r>
              <w:rPr>
                <w:sz w:val="20"/>
              </w:rPr>
              <w:t>Title:</w:t>
            </w:r>
          </w:p>
        </w:tc>
        <w:tc>
          <w:tcPr>
            <w:tcW w:w="1646" w:type="dxa"/>
            <w:tcBorders/>
            <w:vAlign w:val="center"/>
          </w:tcPr>
          <w:p>
            <w:pPr>
              <w:pStyle w:val="TableContents"/>
              <w:bidi w:val="0"/>
              <w:spacing w:before="0" w:after="283"/>
              <w:jc w:val="left"/>
              <w:rPr>
                <w:sz w:val="20"/>
              </w:rPr>
            </w:pPr>
            <w:r>
              <w:rPr>
                <w:sz w:val="20"/>
              </w:rPr>
              <w:t>Group CEO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30171501ex99-1.htm"/>
      <w:bookmarkStart w:id="3" w:name="ksea030171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GCL Announces Acceleration of Subsidiary 4Divinity’s Growth Through Expanded Investment from ADATA Technology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 August 10, 2026</w:t>
      </w:r>
      <w:r>
        <w:rPr>
          <w:rFonts w:ascii="Times New Roman;Times;Serif" w:hAnsi="Times New Roman;Times;Serif"/>
          <w:b w:val="false"/>
          <w:i w:val="false"/>
          <w:caps w:val="false"/>
          <w:smallCaps w:val="false"/>
          <w:sz w:val="20"/>
        </w:rPr>
        <w:t xml:space="preserve"> – GCL Global Holdings Ltd (Nasdaq: GCL) (“GCL” or the “Company”), a leading provider of games and entertainment, today announced that its publishing subsidiary, 4Divinity Pte. Ltd. (“4Divinity”), has received an additional $9.0 million strategic investment from ADATA Technology Co., Ltd. (“ADATA”), a world leader in memory and storage solutions, following ADATA’s initial investments of $3.0 million announced in December 2025, $10.0 million announced in January 2026, and an additional $10.0 million announced in May 2026. Parties have closed the investment at a price of $3.50 per share, representing a valuation of $350 million for 4Divinity.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latest investment from ADATA, 4Divinity plans to direct proceeds toward acquiring high-profile global game titles, advancing its digital distribution platform, and reinforcing its position at the forefront of international game publishing.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is designed to generate value beyond the balance sheet. By combining ADATA’s hardware innovation with 4Divinity’s growing library of game IP, the two companies intend to develop integrated player experiences that push boundaries.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GCL Global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(“GCL”) is a holding company incorporated in the Cayman Islands (GCL together with its subsidiaries, the “GCL Group”). Through its operating subsidiaries, GCL Group unites people through its ecosystem of content and hardware in games and entertainment, enabling creators to deliver engaging experiences to gaming communities worldwide with a strategic focus on the rapidly expanding Asian gaming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a deep understanding of gaming trends and market dynamics, GCL Group leverages its diverse portfolio of digital and physical content as well as multimedia peripherals to bridge cultures and reach a global audience by introducing Asian-developed IP across consoles and PCs. Learn more at https://www.gclglobalholdings.com/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4Divinity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is a digital and retail games publishing company and an indirect majority-owned subsidiary of GCL, focused on bringing exciting game content from around the world to Asia and introducing Asian content to a global market. Along with its sister company, Epicsoft Asia, 4Divinity is partnering with publishers and development studios to introduce brand-new IP to the region. https://www.4divinity.com/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ADATA – Innovating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ADATA Technology is the world’s second-largest manufacturer of DRAM memory and branded solid state drives, ranked top 25 among Best Taiwan Global Brands. ADATA’s main product lines include memory modules, solid state drives, consumer electronics, and industrial solutions. The company has also expanded into enterprise storage under the TRUSTA brand, AI AMR robots, electric vehicles, and gaming products through its XPG brand. ADATA’s products have garnered wide international acclaim over the years including iF Design, Red Dot Design, and Taiwan Excellence awards. Looking to the future, ADATA remains committed to its sustainable vision of “Innovate Today, Embrace Tomorrow.” The company continues to embody the “hummingbird spirit” as it uses innovative technology to create a smart and colorful life for people everywhere. For more information, please visit www.adata.com.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made under the “safe harbor” provisions of the U.S. Private Securities Litigation Reform Act of 1995, and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may also include, but are not limited to, statements regarding projections, estimates and forecasts of revenue and other financial and performance metrics, projections of market opportunity and expectations, the estimated implied enterprise value of GCL, GCL’s ability to scale and grow its business, the advantages and expected growth of GCL, and GCL’s ability to source and retain creative talent and publish games. These statements are based on various assumptions, whether or not identified in this press release, and on the current expectations of GCL’s management and are not predictions of actual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involve risks, uncertainties and other factors that may cause actual results, levels of activity, performance, or achievements to be materially different from those expressed or implied by these forward-looking statements. Although GCL believes that it has a reasonable basis for each forward-looking statement contained in this press release, GCL cautions you that these statements are based on a combination of facts and factors currently known and projections of the future, which are inherently uncertain. In addition, there are risks and uncertainties described in GCL’s annual report on Form 20-F for the fiscal year ended March 31, 2026, and other documents filed by GCL from time to time with the SEC. These filings may identify and address other important risks and uncertainties that could cause actual events and results to differ materially from those contained in the forward-looking statements. GCL cannot assure you that the forward-looking statements in this press release will prove to be accurate. There may be additional risks that GCL presently knows or that GCL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GCL as of the date of this press release. Subsequent events and developments may cause those views to change. However, while GCL may update these forward-looking statements in the future, there is no current intention to do so, except to the extent required by applicable law. You should, therefore, not rely on these forward-looking statements as representing the views of GCL as of any date subsequent to the date of this press release. Except as may be required by law, GCL does not undertake any duty to update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 Coulson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crocker.coulson@aumadvisors.com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652-7185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1188</Words>
  <Characters>6815</Characters>
  <CharactersWithSpaces>8010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