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7613-20f_gclglobal.htm"/>
      <w:bookmarkStart w:id="1" w:name="ksea029761320f_gclglobal"/>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March 31,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185" w:type="dxa"/>
        <w:jc w:val="left"/>
        <w:tblInd w:w="0" w:type="dxa"/>
        <w:tblLayout w:type="fixed"/>
        <w:tblCellMar>
          <w:top w:w="0" w:type="dxa"/>
          <w:left w:w="0" w:type="dxa"/>
          <w:bottom w:w="28" w:type="dxa"/>
          <w:right w:w="0" w:type="dxa"/>
        </w:tblCellMar>
      </w:tblPr>
      <w:tblGrid>
        <w:gridCol w:w="4040"/>
        <w:gridCol w:w="90"/>
        <w:gridCol w:w="4055"/>
      </w:tblGrid>
      <w:tr>
        <w:trPr/>
        <w:tc>
          <w:tcPr>
            <w:tcW w:w="40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40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5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Sebastian Toke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Cool Lifestyle Hub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65 80427330</w:t>
        <w:br/>
      </w:r>
      <w:r>
        <w:rPr>
          <w:rFonts w:ascii="Times New Roman;Times;Serif" w:hAnsi="Times New Roman;Times;Serif"/>
          <w:b w:val="false"/>
          <w:i w:val="false"/>
          <w:caps w:val="false"/>
          <w:smallCaps w:val="false"/>
          <w:sz w:val="20"/>
        </w:rPr>
        <w:t>ir.gclglobalholdings.com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10"/>
        <w:gridCol w:w="90"/>
        <w:gridCol w:w="1402"/>
        <w:gridCol w:w="90"/>
        <w:gridCol w:w="2913"/>
      </w:tblGrid>
      <w:tr>
        <w:trPr/>
        <w:tc>
          <w:tcPr>
            <w:tcW w:w="5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$0.0001 par value per share</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2"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3"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Global Select Market</w:t>
            </w:r>
          </w:p>
        </w:tc>
      </w:tr>
      <w:tr>
        <w:trPr/>
        <w:tc>
          <w:tcPr>
            <w:tcW w:w="5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each exercisable for one Ordinary Share at an exercise price of $11.50 per share</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2"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GCLWW</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issued and outstanding shares of each of the issuer’s classes of capital or ordinary shares as of March 31, 2026 was 130,135,432 and 128,008,703 ordinary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7"/>
        <w:gridCol w:w="8297"/>
        <w:gridCol w:w="761"/>
      </w:tblGrid>
      <w:tr>
        <w:trPr/>
        <w:tc>
          <w:tcPr>
            <w:tcW w:w="1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82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995"/>
        <w:gridCol w:w="515"/>
      </w:tblGrid>
      <w:tr>
        <w:trPr/>
        <w:tc>
          <w:tcPr>
            <w:tcW w:w="699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99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99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Defined Terms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995"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699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PART I</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Item 2. Offer Statistics and Expected Timetable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Item 3. Key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9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Item 4. Information on the Company</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995"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4A. Unresolved Staff Comments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99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995"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6. Directors, Senior Management and Employees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995"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995"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8. Financial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6995"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9. The Offer and Listing</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6995"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10. Additional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6995"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6995"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6995"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PART II</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995" w:type="dxa"/>
            <w:tcBorders/>
            <w:shd w:fill="FFFF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995"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995" w:type="dxa"/>
            <w:tcBorders/>
            <w:shd w:fill="FFFF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Item 15. Controls and Procedures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995" w:type="dxa"/>
            <w:tcBorders/>
            <w:shd w:fill="CCEEFF" w:val="clear"/>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rPr>
                <w:t>Item 16. Reserved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6995" w:type="dxa"/>
            <w:tcBorders/>
            <w:shd w:fill="FFFFFF" w:val="clear"/>
            <w:vAlign w:val="center"/>
          </w:tcPr>
          <w:p>
            <w:pPr>
              <w:pStyle w:val="TableContents"/>
              <w:bidi w:val="0"/>
              <w:spacing w:before="0" w:after="283"/>
              <w:jc w:val="both"/>
              <w:rPr/>
            </w:pPr>
            <w:hyperlink w:anchor="a_022">
              <w:r>
                <w:rPr>
                  <w:rStyle w:val="InternetLink"/>
                  <w:rFonts w:ascii="Times New Roman;Times;Serif" w:hAnsi="Times New Roman;Times;Serif"/>
                  <w:b w:val="false"/>
                  <w:i w:val="false"/>
                  <w:caps w:val="false"/>
                  <w:smallCaps w:val="false"/>
                  <w:sz w:val="20"/>
                </w:rPr>
                <w:t>Item 16A. Audit Committee Financial Expert</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6995" w:type="dxa"/>
            <w:tcBorders/>
            <w:shd w:fill="CCEEFF" w:val="clear"/>
            <w:vAlign w:val="center"/>
          </w:tcPr>
          <w:p>
            <w:pPr>
              <w:pStyle w:val="TableContents"/>
              <w:bidi w:val="0"/>
              <w:spacing w:before="0" w:after="283"/>
              <w:jc w:val="both"/>
              <w:rPr/>
            </w:pPr>
            <w:hyperlink w:anchor="a_023">
              <w:r>
                <w:rPr>
                  <w:rStyle w:val="InternetLink"/>
                  <w:rFonts w:ascii="Times New Roman;Times;Serif" w:hAnsi="Times New Roman;Times;Serif"/>
                  <w:b w:val="false"/>
                  <w:i w:val="false"/>
                  <w:caps w:val="false"/>
                  <w:smallCaps w:val="false"/>
                  <w:sz w:val="20"/>
                </w:rPr>
                <w:t>Item 16B. Code of Ethics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6995" w:type="dxa"/>
            <w:tcBorders/>
            <w:shd w:fill="FFFFFF" w:val="clear"/>
            <w:vAlign w:val="center"/>
          </w:tcPr>
          <w:p>
            <w:pPr>
              <w:pStyle w:val="TableContents"/>
              <w:bidi w:val="0"/>
              <w:spacing w:before="0" w:after="283"/>
              <w:jc w:val="both"/>
              <w:rPr/>
            </w:pPr>
            <w:hyperlink w:anchor="a_024">
              <w:r>
                <w:rPr>
                  <w:rStyle w:val="InternetLink"/>
                  <w:rFonts w:ascii="Times New Roman;Times;Serif" w:hAnsi="Times New Roman;Times;Serif"/>
                  <w:b w:val="false"/>
                  <w:i w:val="false"/>
                  <w:caps w:val="false"/>
                  <w:smallCaps w:val="false"/>
                  <w:sz w:val="20"/>
                </w:rPr>
                <w:t>Item 16C. Principal Accountant Fees and Services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6995" w:type="dxa"/>
            <w:tcBorders/>
            <w:shd w:fill="CCEEFF" w:val="clear"/>
            <w:vAlign w:val="center"/>
          </w:tcPr>
          <w:p>
            <w:pPr>
              <w:pStyle w:val="TableContents"/>
              <w:bidi w:val="0"/>
              <w:spacing w:before="0" w:after="283"/>
              <w:jc w:val="both"/>
              <w:rPr/>
            </w:pPr>
            <w:hyperlink w:anchor="a_025">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995" w:type="dxa"/>
            <w:tcBorders/>
            <w:shd w:fill="FFFFFF" w:val="clear"/>
            <w:vAlign w:val="center"/>
          </w:tcPr>
          <w:p>
            <w:pPr>
              <w:pStyle w:val="TableContents"/>
              <w:bidi w:val="0"/>
              <w:spacing w:before="0" w:after="283"/>
              <w:jc w:val="both"/>
              <w:rPr/>
            </w:pPr>
            <w:hyperlink w:anchor="a_026">
              <w:r>
                <w:rPr>
                  <w:rStyle w:val="InternetLink"/>
                  <w:rFonts w:ascii="Times New Roman;Times;Serif" w:hAnsi="Times New Roman;Times;Serif"/>
                  <w:b w:val="false"/>
                  <w:i w:val="false"/>
                  <w:caps w:val="false"/>
                  <w:smallCaps w:val="false"/>
                  <w:sz w:val="20"/>
                </w:rPr>
                <w:t>Item 16E. Purchase of Securities by The Issuer and Affiliated Purchasers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995" w:type="dxa"/>
            <w:tcBorders/>
            <w:shd w:fill="CCEEFF" w:val="clear"/>
            <w:vAlign w:val="center"/>
          </w:tcPr>
          <w:p>
            <w:pPr>
              <w:pStyle w:val="TableContents"/>
              <w:bidi w:val="0"/>
              <w:spacing w:before="0" w:after="283"/>
              <w:jc w:val="both"/>
              <w:rPr/>
            </w:pPr>
            <w:hyperlink w:anchor="a_027">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995" w:type="dxa"/>
            <w:tcBorders/>
            <w:shd w:fill="FFFFFF" w:val="clear"/>
            <w:vAlign w:val="center"/>
          </w:tcPr>
          <w:p>
            <w:pPr>
              <w:pStyle w:val="TableContents"/>
              <w:bidi w:val="0"/>
              <w:spacing w:before="0" w:after="283"/>
              <w:jc w:val="both"/>
              <w:rPr/>
            </w:pPr>
            <w:hyperlink w:anchor="a_028">
              <w:r>
                <w:rPr>
                  <w:rStyle w:val="InternetLink"/>
                  <w:rFonts w:ascii="Times New Roman;Times;Serif" w:hAnsi="Times New Roman;Times;Serif"/>
                  <w:b w:val="false"/>
                  <w:i w:val="false"/>
                  <w:caps w:val="false"/>
                  <w:smallCaps w:val="false"/>
                  <w:sz w:val="20"/>
                </w:rPr>
                <w:t>Item 16G. Corporate Governance</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995" w:type="dxa"/>
            <w:tcBorders/>
            <w:shd w:fill="CCEEFF" w:val="clear"/>
            <w:vAlign w:val="center"/>
          </w:tcPr>
          <w:p>
            <w:pPr>
              <w:pStyle w:val="TableContents"/>
              <w:bidi w:val="0"/>
              <w:spacing w:before="0" w:after="283"/>
              <w:jc w:val="both"/>
              <w:rPr/>
            </w:pPr>
            <w:hyperlink w:anchor="a_029">
              <w:r>
                <w:rPr>
                  <w:rStyle w:val="InternetLink"/>
                  <w:rFonts w:ascii="Times New Roman;Times;Serif" w:hAnsi="Times New Roman;Times;Serif"/>
                  <w:b w:val="false"/>
                  <w:i w:val="false"/>
                  <w:caps w:val="false"/>
                  <w:smallCaps w:val="false"/>
                  <w:sz w:val="20"/>
                </w:rPr>
                <w:t>Item 16H. Mine Safety Disclosure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995" w:type="dxa"/>
            <w:tcBorders/>
            <w:shd w:fill="FFFFFF" w:val="clear"/>
            <w:vAlign w:val="center"/>
          </w:tcPr>
          <w:p>
            <w:pPr>
              <w:pStyle w:val="TableContents"/>
              <w:bidi w:val="0"/>
              <w:spacing w:before="0" w:after="283"/>
              <w:jc w:val="both"/>
              <w:rPr/>
            </w:pPr>
            <w:hyperlink w:anchor="a_030">
              <w:r>
                <w:rPr>
                  <w:rStyle w:val="InternetLink"/>
                  <w:rFonts w:ascii="Times New Roman;Times;Serif" w:hAnsi="Times New Roman;Times;Serif"/>
                  <w:b w:val="false"/>
                  <w:i w:val="false"/>
                  <w:caps w:val="false"/>
                  <w:smallCaps w:val="false"/>
                  <w:sz w:val="20"/>
                </w:rPr>
                <w:t>Item 16I. Disclosure Regarding Foreign Jurisdiction that Prevent Inspections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995" w:type="dxa"/>
            <w:tcBorders/>
            <w:shd w:fill="CCEEFF" w:val="clear"/>
            <w:vAlign w:val="center"/>
          </w:tcPr>
          <w:p>
            <w:pPr>
              <w:pStyle w:val="TableContents"/>
              <w:bidi w:val="0"/>
              <w:spacing w:before="0" w:after="283"/>
              <w:jc w:val="both"/>
              <w:rPr/>
            </w:pPr>
            <w:hyperlink w:anchor="a_031">
              <w:r>
                <w:rPr>
                  <w:rStyle w:val="InternetLink"/>
                  <w:rFonts w:ascii="Times New Roman;Times;Serif" w:hAnsi="Times New Roman;Times;Serif"/>
                  <w:b w:val="false"/>
                  <w:i w:val="false"/>
                  <w:caps w:val="false"/>
                  <w:smallCaps w:val="false"/>
                  <w:sz w:val="20"/>
                </w:rPr>
                <w:t>Item 16J. Insider Trading Policies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995" w:type="dxa"/>
            <w:tcBorders/>
            <w:shd w:fill="FFFFFF" w:val="clear"/>
            <w:vAlign w:val="center"/>
          </w:tcPr>
          <w:p>
            <w:pPr>
              <w:pStyle w:val="TableContents"/>
              <w:bidi w:val="0"/>
              <w:spacing w:before="0" w:after="283"/>
              <w:jc w:val="both"/>
              <w:rPr/>
            </w:pPr>
            <w:hyperlink w:anchor="a_032">
              <w:r>
                <w:rPr>
                  <w:rStyle w:val="InternetLink"/>
                  <w:rFonts w:ascii="Times New Roman;Times;Serif" w:hAnsi="Times New Roman;Times;Serif"/>
                  <w:b w:val="false"/>
                  <w:i w:val="false"/>
                  <w:caps w:val="false"/>
                  <w:smallCaps w:val="false"/>
                  <w:sz w:val="20"/>
                </w:rPr>
                <w:t>Item 16K. Cybersecurity</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995" w:type="dxa"/>
            <w:tcBorders/>
            <w:shd w:fill="CCEEFF" w:val="clear"/>
            <w:vAlign w:val="center"/>
          </w:tcPr>
          <w:p>
            <w:pPr>
              <w:pStyle w:val="TableContents"/>
              <w:bidi w:val="0"/>
              <w:spacing w:before="0" w:after="283"/>
              <w:jc w:val="both"/>
              <w:rPr/>
            </w:pPr>
            <w:hyperlink w:anchor="a_033">
              <w:r>
                <w:rPr>
                  <w:rStyle w:val="InternetLink"/>
                  <w:rFonts w:ascii="Times New Roman;Times;Serif" w:hAnsi="Times New Roman;Times;Serif"/>
                  <w:b w:val="false"/>
                  <w:i w:val="false"/>
                  <w:caps w:val="false"/>
                  <w:smallCaps w:val="false"/>
                  <w:sz w:val="20"/>
                </w:rPr>
                <w:t>PART III</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995" w:type="dxa"/>
            <w:tcBorders/>
            <w:shd w:fill="FFFFFF" w:val="clear"/>
            <w:vAlign w:val="center"/>
          </w:tcPr>
          <w:p>
            <w:pPr>
              <w:pStyle w:val="TableContents"/>
              <w:bidi w:val="0"/>
              <w:spacing w:before="0" w:after="283"/>
              <w:jc w:val="both"/>
              <w:rPr/>
            </w:pPr>
            <w:hyperlink w:anchor="a_034">
              <w:r>
                <w:rPr>
                  <w:rStyle w:val="InternetLink"/>
                  <w:rFonts w:ascii="Times New Roman;Times;Serif" w:hAnsi="Times New Roman;Times;Serif"/>
                  <w:b w:val="false"/>
                  <w:i w:val="false"/>
                  <w:caps w:val="false"/>
                  <w:smallCaps w:val="false"/>
                  <w:sz w:val="20"/>
                </w:rPr>
                <w:t>Item 17.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995" w:type="dxa"/>
            <w:tcBorders/>
            <w:shd w:fill="CCEEFF" w:val="clear"/>
            <w:vAlign w:val="center"/>
          </w:tcPr>
          <w:p>
            <w:pPr>
              <w:pStyle w:val="TableContents"/>
              <w:bidi w:val="0"/>
              <w:spacing w:before="0" w:after="283"/>
              <w:jc w:val="both"/>
              <w:rPr/>
            </w:pPr>
            <w:hyperlink w:anchor="a_035">
              <w:r>
                <w:rPr>
                  <w:rStyle w:val="InternetLink"/>
                  <w:rFonts w:ascii="Times New Roman;Times;Serif" w:hAnsi="Times New Roman;Times;Serif"/>
                  <w:b w:val="false"/>
                  <w:i w:val="false"/>
                  <w:caps w:val="false"/>
                  <w:smallCaps w:val="false"/>
                  <w:sz w:val="20"/>
                </w:rPr>
                <w:t>Item 18.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995" w:type="dxa"/>
            <w:tcBorders/>
            <w:shd w:fill="FFFFFF" w:val="clear"/>
            <w:vAlign w:val="center"/>
          </w:tcPr>
          <w:p>
            <w:pPr>
              <w:pStyle w:val="TableContents"/>
              <w:bidi w:val="0"/>
              <w:spacing w:before="0" w:after="283"/>
              <w:jc w:val="both"/>
              <w:rPr/>
            </w:pPr>
            <w:hyperlink w:anchor="a_036">
              <w:r>
                <w:rPr>
                  <w:rStyle w:val="InternetLink"/>
                  <w:rFonts w:ascii="Times New Roman;Times;Serif" w:hAnsi="Times New Roman;Times;Serif"/>
                  <w:b w:val="false"/>
                  <w:i w:val="false"/>
                  <w:caps w:val="false"/>
                  <w:smallCaps w:val="false"/>
                  <w:sz w:val="20"/>
                </w:rPr>
                <w:t>Item 19. Exhibits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995" w:type="dxa"/>
            <w:tcBorders/>
            <w:shd w:fill="CCEEFF" w:val="clear"/>
            <w:vAlign w:val="center"/>
          </w:tcPr>
          <w:p>
            <w:pPr>
              <w:pStyle w:val="TableContents"/>
              <w:bidi w:val="0"/>
              <w:spacing w:before="0" w:after="283"/>
              <w:jc w:val="both"/>
              <w:rPr/>
            </w:pPr>
            <w:hyperlink w:anchor="a_037">
              <w:r>
                <w:rPr>
                  <w:rStyle w:val="InternetLink"/>
                  <w:rFonts w:ascii="Times New Roman;Times;Serif" w:hAnsi="Times New Roman;Times;Serif"/>
                  <w:b w:val="false"/>
                  <w:i w:val="false"/>
                  <w:caps w:val="false"/>
                  <w:smallCaps w:val="false"/>
                  <w:sz w:val="20"/>
                </w:rPr>
                <w:t>SIGNATURES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(including information incorporated by reference herein, the “Report”), unless the context otherwise requires, “GCL,” the “Company,” “GCL Group,” and references to “we,” “us,” or similar such references should be understood to be references to GCL Global Holdings Ltd. and its subsidiaries and consolidated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Report, unless otherwise stated, references 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“USD,” “US$” and “U.S. dollar” each refers to the United States dollar.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the amended and restated memorandum and articles of association of the Company adopted prior to consummation of the Business Combination on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Ancillary Agreements” means certain additional agreements entered into pursuant to or in connection with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April 2026 Warrant” means the three-year warrant the Company issued to an accredited investor on April 28, 2026 for 1,125,000 shares at an initial exercise price of $8.00 per share, subject to full-ratchet anti-dilution adjustments and other price protections in the event of, among other things, a reverse stock split or share combination, in exchange for a portion of the then-outstanding convertible notes issued pursuant to an Amendment, Waiver and Exchange Agreement dated April 28,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 Leong” means Ban Leong Technologies Pte. Ltd. (formerly known as “Ban Leong Technologies Limited” prior to its delisting from the Singapore Stock Exchange on August 26, 2025), an indirect wholly-owned subsidiary of the Company, based in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“Transactions,” or “Merger” means, collectively, the transactions contemplated by the Merger Agreement and the Ancillary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Companies Act (As Revised) of the Cayman Islands as the same may be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Agreement” means that certain Amendment, Waiver and Exchange Agreement between an accredited investor and the Company dated April 28,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JOBS Act” means the Jumpstart Our Business Startups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Listing Rules of Nasdaq” refers to the listing rules of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dated as of October 18, 2023 (as amended on December 1, 2023, December 15, 2023, January 31, 2024, and September 30, 2024) by and (i) the Company, (ii) RF Acquisition Corp., a Delaware corporation (“RFAC”), (iii) Grand Centrex Limited, a British Virgin Islands business company (“GCL BVI”), (iv) GCL Global Limited, a Cayman Islands exempted company limited by shares (“GCL Global”), and, (v) for the limited purposes set forth therein, RF Dynamic LLC, a Delaware limited liability company (the “Sponsor”).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Nekcom” means a Delaware parent company of a developer of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collectively, the ordinary shares of the Company, each with par value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RFAC” means RF Acquisition Corp.,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 as may be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means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or “GAAP” means generally accepted accounting principles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means warrants of the Company, each exercisable for one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pStyle w:val="TextBody"/>
        <w:bidi w:val="0"/>
        <w:spacing w:before="0" w:after="0"/>
        <w:ind w:left="0" w:right="0" w:firstLine="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68"/>
        <w:gridCol w:w="200"/>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sz w:val="20"/>
              </w:rPr>
            </w:pPr>
            <w:r>
              <w:rPr>
                <w:sz w:val="20"/>
              </w:rPr>
              <w:t>the benefits from the acquisition of Ban Leong;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successfully integrate Ban Leong into GCL Group’s business operations and achieve synergies, and operational efficiencies;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raise funds, invest in growth initiatives and pursue acquisition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execute our growth strategy and diversify revenue streams;</w:t>
            </w:r>
          </w:p>
        </w:tc>
      </w:tr>
    </w:tbl>
    <w:p>
      <w:pPr>
        <w:pStyle w:val="TextBody"/>
        <w:bidi w:val="0"/>
        <w:spacing w:before="0" w:after="0"/>
        <w:ind w:left="0" w:right="0" w:hanging="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200"/>
        <w:gridCol w:w="4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expand our operations and geographic reach;</w:t>
            </w:r>
          </w:p>
        </w:tc>
      </w:tr>
    </w:tbl>
    <w:p>
      <w:pPr>
        <w:pStyle w:val="TextBody"/>
        <w:bidi w:val="0"/>
        <w:spacing w:before="0" w:after="0"/>
        <w:ind w:left="0" w:right="0" w:hanging="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68"/>
        <w:gridCol w:w="200"/>
        <w:gridCol w:w="6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manage our growth and maintain our corporate culture as we grow;</w:t>
            </w:r>
          </w:p>
        </w:tc>
      </w:tr>
    </w:tbl>
    <w:p>
      <w:pPr>
        <w:pStyle w:val="TextBody"/>
        <w:bidi w:val="0"/>
        <w:spacing w:before="0" w:after="0"/>
        <w:ind w:left="0" w:right="0" w:hanging="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68"/>
        <w:gridCol w:w="200"/>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and changes in laws, regulations or policies in the jurisdictions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68"/>
        <w:gridCol w:w="200"/>
        <w:gridCol w:w="73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geopolitical changes and political instability in the jurisdictions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68"/>
        <w:gridCol w:w="200"/>
        <w:gridCol w:w="3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exchange and interest rate fluctuations;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anticipated technology trends and developments and our ability to address those trends and developments with our offerings;</w:t>
            </w:r>
          </w:p>
        </w:tc>
      </w:tr>
    </w:tbl>
    <w:p>
      <w:pPr>
        <w:pStyle w:val="TextBody"/>
        <w:bidi w:val="0"/>
        <w:spacing w:before="0" w:after="0"/>
        <w:ind w:left="0" w:right="0" w:hanging="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68"/>
        <w:gridCol w:w="200"/>
        <w:gridCol w:w="89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loss of key personnel and the inability to replace such personnel on a timely basis or on acceptable terms;</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of our capital needs and our ability to raise financing;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to maintain the listing of our securities on Nasdaq; </w:t>
            </w:r>
          </w:p>
        </w:tc>
      </w:tr>
    </w:tbl>
    <w:p>
      <w:pPr>
        <w:pStyle w:val="TextBody"/>
        <w:bidi w:val="0"/>
        <w:spacing w:before="0" w:after="0"/>
        <w:ind w:left="0" w:right="0" w:hanging="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68"/>
        <w:gridCol w:w="200"/>
        <w:gridCol w:w="72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sz w:val="20"/>
              </w:rPr>
            </w:pPr>
            <w:r>
              <w:rPr>
                <w:sz w:val="20"/>
              </w:rPr>
              <w:t>the ability to utilize the “controlled company” exemption under the rules of Nasdaq;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litigation and regulatory enforcement risks, including the diversion of management time and attention and the additional costs and demands on our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Report, and current expectations, forecasts and assumptions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As a result of a number of known and unknown risks and uncertainties, our actual results or performance may be materially different from those expressed or implied by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and our industry are subject to significant risks. You should carefully consider all of the information set forth in this report, including the following risk factors, in evaluating our business. If any of the following risks actually occur, our business, financial condition, results of operations, and growth prospects would likely be materially and adversely affected. Additional risks not presently known to us or that we currently deem immaterial may also impair our business operations. The trading price and value of our securities could decline due to any of these risks, and you may lose all or part of your investment. This report also contains forward-looking statements that involve risks and uncertainties. See the section entitled “Cautionary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will suffer if we are unable to distribute and publish new game titles, “hit” game titles or sequels to such “hit”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distributing and publishing games that consumers will purchase, download and spend time and money playing. We currently distribute and sell to retailers and consumers console games, game codes, and gaming content that are compatible with major gaming consoles such as Sony PlayStation, Microsoft Xbox, and personal computers (“</w:t>
      </w:r>
      <w:r>
        <w:rPr>
          <w:rFonts w:ascii="Times New Roman;Times;Serif" w:hAnsi="Times New Roman;Times;Serif"/>
          <w:b/>
          <w:i/>
          <w:caps w:val="false"/>
          <w:smallCaps w:val="false"/>
          <w:sz w:val="20"/>
        </w:rPr>
        <w:t>PCs</w:t>
      </w:r>
      <w:r>
        <w:rPr>
          <w:rFonts w:ascii="Times New Roman;Times;Serif" w:hAnsi="Times New Roman;Times;Serif"/>
          <w:b w:val="false"/>
          <w:i w:val="false"/>
          <w:caps w:val="false"/>
          <w:smallCaps w:val="false"/>
          <w:sz w:val="20"/>
        </w:rPr>
        <w:t>”). Our sales and marketing efforts are focused on both distributing more games and improving the experience of the games we currently distribute (for example, through merchandise and localized promotional materials). We generate revenue primarily from distribution of video games in Asia, U.S. and Europe from international PC and video game publishers and studios. We commit to a certain marketing budget to market and promote the games. For games distributed through third-party platforms such as Steam, we are required to pay the platform providers at a pre-determined rate. These costs are expected to remain a significant portion of our cost of revenues. In order to remain profitable, we need to generate sufficient revenue from our existing and new game offerings to offset our ongoing development, sales and marketing and operating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revenue generated from game distributions accounted for approximately 28.5%, 86.8%, and 93.3% of our total consolidated revenue for the fiscal years ended March 31, 2026, 2025, and 2024, respectively, the GCL Group’s success depends largely on our ability to sell commercially successful “hit” game titles or sequels to such “hit” titles. If we experience any delays in game releases or disruptions following the commercial release of our “hit” titles or their sequels, our operating results will be materially adversely affected. Since our distribution agreements typically require us to commit to a minimum order quantity per game title, we may even experience a loss if demand for the games we distribute falls short of our expectations. Although we are currently one of the biggest video game distributors in Asia, there is no assurance that we can continue to maintain our market leading position in the game distribution industry in Asia if we fail to meet these minimum purchase commitments in our distribution agreements with game publishers. In addition, we have made significant investments in our publishing business and plan to continue to expand our game publishing operations. Our brand will also suffer if we fail to continue to distribute and publish consistently high quality and well-received game products and services, and as a result, our revenue and profitability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games depends, in part, on unpredictable and constantly changing factors beyond our control including consumer preferences and spending habits, competing games and the availability of other entertainment experiences. If the games we distribute do not meet consumer expectations, or if new games are not brought to market by us in a timely and effective manner, our ability to grow revenue and our financial performance will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distribute and sell games to resellers and their ability to achieve commercial success will depend on our ability to:</w:t>
      </w:r>
    </w:p>
    <w:p>
      <w:pPr>
        <w:pStyle w:val="TextBody"/>
        <w:bidi w:val="0"/>
        <w:spacing w:before="0" w:after="0"/>
        <w:ind w:left="0" w:right="0" w:firstLine="36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68"/>
        <w:gridCol w:w="200"/>
        <w:gridCol w:w="47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effectively market the games to existing and new gamers;</w:t>
            </w:r>
          </w:p>
        </w:tc>
      </w:tr>
    </w:tbl>
    <w:p>
      <w:pPr>
        <w:pStyle w:val="TextBody"/>
        <w:bidi w:val="0"/>
        <w:spacing w:before="0" w:after="0"/>
        <w:ind w:left="0" w:right="0" w:hanging="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68"/>
        <w:gridCol w:w="200"/>
        <w:gridCol w:w="4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adapt to changing gamers’ preferences and spending habits;</w:t>
            </w:r>
          </w:p>
        </w:tc>
      </w:tr>
    </w:tbl>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retain and motivate and talented game designers and developers;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200"/>
        <w:gridCol w:w="6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efficiently manage the distribution and publishing of new games and features;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achieve and maintain successful customer engagement and effectively monetize our games and game intellectual property (the “</w:t>
            </w:r>
            <w:r>
              <w:rPr>
                <w:rFonts w:ascii="Times New Roman;Times;Serif" w:hAnsi="Times New Roman;Times;Serif"/>
                <w:b/>
                <w:i/>
                <w:sz w:val="20"/>
              </w:rPr>
              <w:t>game IP</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68"/>
        <w:gridCol w:w="200"/>
        <w:gridCol w:w="5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 engaging gaming experience and retain our gamers;</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68"/>
        <w:gridCol w:w="200"/>
        <w:gridCol w:w="7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compete successfully against a large and growing number of existing market participants;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accurately forecast the timing and expense of our operations, including original content development, marketing and customer acquisition, customer adoption and revenue growth; and</w:t>
            </w:r>
          </w:p>
        </w:tc>
      </w:tr>
    </w:tbl>
    <w:p>
      <w:pPr>
        <w:pStyle w:val="TextBody"/>
        <w:bidi w:val="0"/>
        <w:spacing w:before="0" w:after="0"/>
        <w:ind w:left="0"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68"/>
        <w:gridCol w:w="20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minimize and quickly identify bugs or outages as a game publisher.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uncertainties make it difficult to know whether we will succeed in continuing to distribute or publish successful games, and launch new games and features in accordance with our operating plan. If we do not succeed in doing so, our business, financial condition, results of operations or reputation will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acquire and maintain licenses to intellectual property through distribution agreements with game publishers may affect our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video game distribution business depends on the distribution agreements we enter into with publishers giving us the licenses or rights to third-party intellectual property for use in the games we distribute or platform to enhance the experience of our gamers. Pursuant to these distribution agreements, the publishers retain all the intellectual properties rights related to the games, and the licenses granted typically limit our use of the intellectual properties to specific uses and for specific time periods, and include other contractual obligations, including the achievement of certain minimum order quantities in order for the license to remain in effect. In many cases, certain intellectual property rights may be licensed to us on a non-exclusive basis, and accordingly, the owners of such intellectual property are free to license such rights to third parties, including our competitors, on terms that may be superior to those offered to us, which could place us at a competitive disadvantage. Competition for these licenses is intense. If we are unable to obtain and remain in compliance with the terms of these licenses or obtain additional licenses on reasonable economic terms, our revenue and profitability may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increasing importance of digital content delivery exposes us to the risks of that business model, including greater competition from online and mobile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importance of digital content delivery in our industry, including through subscription-based access to a portfolio of interactive content, increases our potential competition, as the minimum capital needed to produce and publish a digitally delivered game is significantly less than that needed to produce and publish one that is delivered through retail distribution. A continuing shift to digital content delivery could result in a deprioritization of our games by retailers. This shift also requires us to dedicate capital to developing and implementing alternative marketing strategies which may or may not successful. If we are unable to effectively market and distribute our games, our business and operating results will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sales channel partners some of whom influence the fee structures for online distribution of our games on their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sales channel partners, some of whom have retained the right to change the fee structures for online distribution of both paid content and free content (including patches and corrections) that we license to them for distribution on their platforms. Such channel partners’ ability to set or influence fees may increase costs, which could negatively affect our operating margins. We may be unable to distribute our content in a cost-effective or profitable manner through such distribution channel, which could adversely affect our business,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of fee arrangements, our agreements with our channel partners sometimes give them significant control over other aspects of the distribution of our products and services that we develop for their platform. If our channel partners establish terms that restrict our offerings through their channels, or significantly affect the financial terms on which these products are offered to our customers, we may be unable to distribute our product offerings through them or be forced to do so on materially worse financial or business terms in negotiating such various aspects of distribution. Increased competition for digital “shelf space” has put channel partners in more favorable bargaining positions in relation to such terms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retailers to distribute our games and collect revenues generated on their websites or other e-commerce websites and third-party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28.5%, 86.8% and 93.3% of our total consolidated revenue for the fiscal years ended March 31, 2026, 2025 and 2024, respectively, was generated from game distributions. If we are unable to maintain a good relationship with platform providers, if their terms and conditions or pricing change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standard and non-negotiated policies and terms of service/publisher agreements of third-party platforms, which govern the promotion, distribution, content, and operation generally of games on the platform. Each platform provider has broad discretion to unilaterally change and interpret its terms of service and other policies with respect to us and other developers, and those changes may be unfavorable to us. 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gamers can share information with their friends on the platform or across platforms. Our business could be harmed if:</w:t>
      </w:r>
    </w:p>
    <w:p>
      <w:pPr>
        <w:pStyle w:val="TextBody"/>
        <w:bidi w:val="0"/>
        <w:spacing w:before="0" w:after="0"/>
        <w:ind w:left="0" w:right="0" w:firstLine="36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68"/>
        <w:gridCol w:w="20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 providers discontinue or limit our access to their platforms;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private parties, such as internet providers, impose bandwidth restrictions, increase charges, or restrict or prohibit access to those platforms;</w:t>
            </w:r>
          </w:p>
        </w:tc>
      </w:tr>
    </w:tbl>
    <w:p>
      <w:pPr>
        <w:pStyle w:val="TextBody"/>
        <w:bidi w:val="0"/>
        <w:spacing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increase the fees they charge us or change the ways in which their fees are determined;</w:t>
            </w:r>
          </w:p>
        </w:tc>
      </w:tr>
    </w:tbl>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68"/>
        <w:gridCol w:w="200"/>
        <w:gridCol w:w="2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decline in popularity;</w:t>
            </w:r>
          </w:p>
        </w:tc>
      </w:tr>
    </w:tbl>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68"/>
        <w:gridCol w:w="200"/>
        <w:gridCol w:w="7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block or limit access to the genres of games that we provide in any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platforms change how the personal information of gamers is made available to developers or develop or expand their own competitive offerings; or</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unable to comply with the platform providers’ terms of service.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respective terms of service or policy changes of third-party platforms may decrease the visibility or availability of our games, limit our distribution capabilities, prevent access to our existing games, increase our costs to operate on these platforms, or result in the exclusion or limitation of our games. Any such changes could adversely affect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third-party platforms typically impose certain file size limitations, restricting our ability to create software with additional features that would result in a larger file size than what the platform providers would support. A larger game file size could also cause gamers to delete our games once the file size grows beyond the capacity of their devices’ storage limitations or could reduce the number of downloads of these games. 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If any of our third-party service providers is unable to process payments, even for a short period of time, our business could be harmed. These platforms and our third-party online payment service providers may also experience security breaches or other issues with their functionalities. In addition, if we violate, or a platform provider believes we have violated, its terms of service, policies, or standard publisher agreements (or if there is any change or deterioration in our relationship with any of these platform providers), that platform provider could limit or discontinue our access to the platform or we may be exposed to liability or litigation. If these third-party platforms and online payment service providers otherwise experience issues that impact the ability of gamers to download or access our games, it could materially and adversely affect our brands and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distribution business of IT hardware, computer accessories and smart technology exposes us to inventory risks, including inventory obsolescence and write-downs, due to short product life cycles and rapid technological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acquired Ban Leong in May 2025. Ban Leong contributed approximately $124.4 million and $50.0 million of revenue, representing approximately 52.1% and 50.7% of our total revenue for the fiscal year ended March 31, 2026 and for the six months ended September 30, 2025, respectively. Distribution and sales of IT hardware products and gaming accessories requires us to purchase physical products that are subject to rapid technological change, evolving industry standards, and sometimes short and unpredictable product life cycles. We are often required to purchase and carry inventory in anticipation of customer demand, and we may commit to minimum purchase volumes with manufacturers. If we fail to accurately forecast demand, if manufacturers introduce new products or models, if consumer preferences shift, or if the rate at which consumers replace or upgrade their technology products changes, we may be left with excess or obsolete inventory that we are unable to sell, or that we can only sell at a discount or a loss. The value of our inventory may also decline as a result of product price reductions by manufacturer, and we may not always be entitled to, or able to recover, price protection, stock rotation or return rights from our supplier. Any of the foregoing could require us to record inventory write-downs or reserves, which could materially and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IT hardware and gaming accessories distribution business depends on our ability to maintain authorized distributor and reseller status with the manufacturers, and the loss or modification of our relationships with these manufacturers could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 Leong is an authorized distributor of major brands of IT hardware, computer accessories and other multi-media products, including Razer, Nvidia, Samsung, Huawei, TP-Link, and LG. Our ability to distribute these products depends on maintaining distribution, reseller and authorization agreements with manufacturers and brand owners. These agreements are typically non-exclusive, short-term or terminable on limited notice, do not guarantee any particular pricing, product allocation or supply, and may be modified or terminated by the manufacturer with little or no notice. If a key manufacturer terminates, declines to renew or materially changes the terms of its relationship with us, appoints additional or competing distributors, elects to sell directly to resellers or consumers, consolidates with another manufacturer, or experiences financial or operational difficulties, we may be unable to obtain sufficient quantities of products on acceptable terms, or at all,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distribution business of computer hardware and accessories is subject to rapid price erosion, and reductions in manufacturer incentives, rebates or price protection could reduce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and computer accessories distribution business carries a higher gross margin of 10.4% for the year ended March 31, 2026, compared to the 6.2% gross margin for our console games distribution business during the same period. However, there are more than 200 distinct gaming peripheral brands competing for consumer attention, making differentiation difficult. Our profitability in this business segment depends in significant part on our ability to manage operating costs, achieve sufficient sales volumes, and obtain favorable pricing, volume rebates, price protection and other incentives from manufacturers. Prices for hardware products tend to decline, sometimes rapidly, over their life cycles, and we may be unable to sell inventory before its value declines. Manufacturers may reduce or eliminate rebates, incentives, marketing support or price protection programs, change the terms on which such programs are offered. Intense competition among distributors and resellers, together with pricing pressure from customers and the increasing availability of products through online and direct sales channels, could further compress our margins. If we are unable to maintain adequate margins, our business, financial condition and results of operations could be materially and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manufacturers and third parties for the timely supply and delivery of hardware products, and supply shortages, manufacturing disruptions or logistics constraints could prevent us from meeting customer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hardware and accessories distribution business depends on the ability of principal to design, manufacture and deliver products in sufficient quantities, of acceptable quality, and on a timely basis. The supply of these products has in the past been, and may in the future be, adversely affected by shortages of components (including semiconductors and other electronic components), manufacturing capacity constraints, natural disasters, public health emergencies, labor disruptions, trade restrictions, transportation and freight delays, increased shipping costs, and other disruptions to global supply chains. For the products manufactured outside the markets in which we sell them, we are also exposed to risks associated with importing products, including customs delays, tariffs and changes in trade policy. If we are unable to obtain adequate supplies of products on a timely basis and on acceptable terms, we may be unable to fulfill customer orders, which could result in lost sales, damage to our customer relationships and our reputation, and a material adverse effect on our business, financial condition and results of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computer hardware, accessories and other multi-media products we distribute may contain defects or fail to perform as expected, which could expose us to warranty claims, product liability, product recalls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computer hardware, accessories and other multi-media products we distribute may contain defects, errors or vulnerabilities, particularly when newly introduced, and may not perform as expected or may fail to comply with applicable safety, quality or regulatory standards. Although such products are manufactured by third parties, we may be subject to warranty claims, product returns, product liability claims, recalls and associated costs as the distributor or seller of those products, and we may not in all cases be able to obtain full indemnification or recovery from the applicable manufacturer. Defective products could also harm our reputation and our relationships with customers and manufacturers, and result in lost sales. Any of these events could materially and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presence of counterfeit, gray market or parallel-imported products could harm our hardware and accessories distribution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distribute computer hardware, accessories and other multi-media products may be subject to the unauthorized sale of counterfeit or gray market or parallel-imported products. Counterfeit products may be of inferior quality, may infringe the intellectual property rights of manufacturers, and may be difficult to detect, while gray market or parallel-imported genuine products sold outside of authorized distribution channels may be offered at lower prices than those we are able to offer. The availability of such products could reduce demand for the products we distribute, place downward pressure on our prices and margins, expose us to claims from manufacturers or third parties, and damage our reputation and relationships with manufacturers, any of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Jacky Choo See Wee, our Group Chairman and CEO of Epicsoft Asia, and our senior management team. Loss of Mr. Choo’s leadership or services from any of our senior management team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to date was largely attributable to the leadership of industry veteran, Mr. Jacky Choo See Wee, our Group Chairman and CEO of Epicsoft Asia. We rely on Mr. Choo for our continued growth and operation, and the continued development of our strategic direction, based on his experience and connections in the industry in Asia.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senior management team comprised of Sebastian Toke, our GCL Group CEO, Keith Liu Min Tzau, our Group Deputy CEO and Group Chief Marketing Officer, Kenny Lin Yuxin, our Group Chief Financial Officer, and Catherine Choo See Ling, our Group Chief Operating Officer. Together, they are responsible for directing and managing daily operations in all aspects of our business, monitoring and supervising compliance and risk management, overseeing financial condition and performance, managing relationships with all stakeholders in our market and formulating business strategies. Loss of services of Mr. Choo or any of our key management members and failure to promptly find suitable replacement will cause our business and operations to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games and other software applications, and our and our vendors’ and other partners’ information technology and other systems and platforms (Steam/PSN and other partner platforms), have on occasion, experienced failures, errors, defects, or disruptions. Although such events have not had a material impact in the past, future similar events could disrupt our business, impact our games and related software applications, affect our ability to scale our technical infrastructure, diminish our brand and reputation, subject us to liability, and adversely affect our operating results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may contain errors, bugs, flaws, corrupted data, defects, and other vulnerabilities, some of which may only become apparent after their launch, particularly as we launch new games and rapidly release new features to existing games under tight time constraints. Furthermore, our development and testing processes may not detect errors and vulnerabilities in our games prior to their release. Any such errors, flaws, defects, and vulnerabilities may adversely affect the game experience of our gamers, harm our reputation, cause our gamers to stop playing our games, divert our resources, and delay market acceptance of our games, any of which could result in harm to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infrastructure is critical to the performance of our games and satisfaction of our gamers and to the general operation of our business. We devote significant resources to network and data security to protect our systems and data. However, our systems may not be adequately designed with the necessary reliability and redundancy to avoid performance delays or outages that could be harmful to our business. We cannot assure you that the measures we take to detect and prevent or hinder cyber-attacks or other security or data breaches, to protect our systems, data and gamer information, and to prevent outages, data loss, and fraud, including a disaster recovery strategy for server, equipment, or systems failure and the use of third parties for certain cybersecurity services, will provide sufficient security or be adequate for our operations. Our vendors and other partners are also subject to the foregoing risks, and we do not have any control over them. We have experienced, and may in the future experience, system disruptions, outages, and other performance problems, including when releasing new software versions or bug fixes, due to a variety of factors, including infrastructure changes, human or software errors, and capacity constraints. Such disruptions have not had a material impact to date, however, future disruptions from unauthorized access to, fraudulent manipulation of, or tampering with our or third parties’ computer systems and technological infrastructure, including the data contained therein or transmitted thereby, could materially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errors, defects, and data corruption could also disrupt our operations, adversely affect the experience of our consumers, harm our reputation, cause our gamers to stop playing our games, divert our resources, and delay market acceptance of our games, any of which could result in legal liability to us or harm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gamer base and engagement continue to grow, and the number and types of games we offer continue to grow and evolve, we will need an increasing amount of technical infrastructure, including network capacity and computing power, to continue to satisfy our gamers’ needs and operate our business. Such infrastructure expansion may be complex, and unanticipated delays in completing these projects or availability of components may lead to increased project costs, operational inefficiencies, or interruptions in the delivery or degradation of the quality of our games or other operations. In addition, there may be issues related to this infrastructure that are not identified during the testing phases of design and implementation, which may only become evident after we have started to fully use the underlying equipment or software, which could further degrade the gamer experience or increase our costs. As such, we could fail to continue to effectively scale and grow our technical infrastructure to accommodate increased demands. In addition, our business may be subject to interruptions, delays or failures resulting from adverse weather conditions, other natural disasters, power loss, terrorism, cyber-attacks, public health emergencies (including the COVID-19 pandemic or other future health epidemics or contagious disease outbreaks), or other catastrophic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if our gamers have a negative experience with our games, or if our brand or reputation is negatively affected, gamers may be less inclined to continue or to engage with us. As such, a failure or significant interruption in our service would harm our reputation,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limited number of customers account for a significant portion of our sales. The loss of a principal customer or other significant business relationship could seriously hurt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fiscal years ended March 31, 2026, 2025 and 2024, sales to our largest one, three and four customers, respectively, accounted for more than 10% of our total consolidated revenue. Our sales are made primarily without long-term agreements or other commitments, and our customers may terminate their relationship with us at any time. Certain of our customers may decline to carry products containing mature content. The loss of our relationships with principal customers and resellers or a decline in sales to principal customers or resellers, could materially adversely affect our business, financial condition, and operating results. In addition, if our customers or resellers are subject to pricing pressures due to deteriorating demand for our products, competition, or otherwise, such customers or resellers may pass those pricing pressures through to us, which could materially adversely affect our business,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customers may also be placed into bankruptcy, become insolvent, or be liquidated due to economic downturns, global credit contractions, or other factors. Bankruptcies or consolidations of certain large retail customers could seriously hurt our business, including as a result of uncollectible accounts receivable from such customers and the concentration of purchasing power among large retailers.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competition for limited shelf space and promotional support from retailers could affect the success of our business and require us to incur greater expenses to market our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is intense among newly introduced interactive entertainment software titles for adequate shelf space and promotional support, with most and highest quality shelf space devoted to those games expected to be best sellers. We cannot be certain that our new game products will consistently achieve top seller status.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 Similarly, as digital sales increase in importance to our business, there is increasing competition for premium placements of our games on websites. Such placement is subject to many similar risks as physical shelf space discussed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publishing business is partly dependent on our ability to enter into successful software development arrangements with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publishing business depends on our ability to continually identify and develop new game titles in a timely fashion. We rely on third-party software developers for the development of most of the game titles we publish. Quality third-party developers are continually in high demand, and those who have co-developed titles for us in the past may not be available to develop software for us in the future. Due to the limited availability of third-party software developers and the limited control that we exercise over them, these developers may not be able to complete game titles for us on a timely basis or within acceptable quality standards, if at all. We have entered into agreements with third parties to acquire the rights to publish and distribute games. These publishing agreements typically require us to make development payments, pay royalties, and satisfy other conditions. Our development payments may not be sufficient to permit developers to develop new software successfully, which could result in material delays and significant increases in our costs to bring particular products to market. Software development costs, promotion and marketing expenses and royalties payable to software developers and third-party licensors have continued to increase and reduce our profit margin.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publishing agreements may be terminated or modified in ways that are burdensome to us and have a material adverse effect on our business,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engaged, and expect to engage, third-party game development companies to co-develop, co-publish or operate certain games, and if they fail to perform as expected, our business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 the past and expect in the future to, engage third-party game development companies to co-develop or co-publish certain video games with us. For instance, </w:t>
      </w:r>
      <w:r>
        <w:rPr>
          <w:rFonts w:ascii="Times New Roman;Times;Serif" w:hAnsi="Times New Roman;Times;Serif"/>
          <w:b w:val="false"/>
          <w:i/>
          <w:caps w:val="false"/>
          <w:smallCaps w:val="false"/>
          <w:sz w:val="20"/>
        </w:rPr>
        <w:t>Atomic Heart</w:t>
      </w:r>
      <w:r>
        <w:rPr>
          <w:rFonts w:ascii="Times New Roman;Times;Serif" w:hAnsi="Times New Roman;Times;Serif"/>
          <w:b w:val="false"/>
          <w:i w:val="false"/>
          <w:caps w:val="false"/>
          <w:smallCaps w:val="false"/>
          <w:sz w:val="20"/>
        </w:rPr>
        <w:t>, a game launched in February 2023, was co-published by us and Focus Entertainment, an international game studio backed by Chinese multinational conglomerate, Tencent Interactive Entertainment (“</w:t>
      </w:r>
      <w:r>
        <w:rPr>
          <w:rFonts w:ascii="Times New Roman;Times;Serif" w:hAnsi="Times New Roman;Times;Serif"/>
          <w:b/>
          <w:i/>
          <w:caps w:val="false"/>
          <w:smallCaps w:val="false"/>
          <w:sz w:val="20"/>
        </w:rPr>
        <w:t>Tencent</w:t>
      </w:r>
      <w:r>
        <w:rPr>
          <w:rFonts w:ascii="Times New Roman;Times;Serif" w:hAnsi="Times New Roman;Times;Serif"/>
          <w:b w:val="false"/>
          <w:i w:val="false"/>
          <w:caps w:val="false"/>
          <w:smallCaps w:val="false"/>
          <w:sz w:val="20"/>
        </w:rPr>
        <w:t xml:space="preserve">”), and an independent European video game developer and publisher. We also co-published </w:t>
      </w:r>
      <w:r>
        <w:rPr>
          <w:rFonts w:ascii="Times New Roman;Times;Serif" w:hAnsi="Times New Roman;Times;Serif"/>
          <w:b w:val="false"/>
          <w:i/>
          <w:caps w:val="false"/>
          <w:smallCaps w:val="false"/>
          <w:sz w:val="20"/>
        </w:rPr>
        <w:t>S.T.A.L.K.E.R. 2: Heart of Chornobyl</w:t>
      </w:r>
      <w:r>
        <w:rPr>
          <w:rFonts w:ascii="Times New Roman;Times;Serif" w:hAnsi="Times New Roman;Times;Serif"/>
          <w:b w:val="false"/>
          <w:i w:val="false"/>
          <w:caps w:val="false"/>
          <w:smallCaps w:val="false"/>
          <w:sz w:val="20"/>
        </w:rPr>
        <w:t xml:space="preserve"> in November 2024 and </w:t>
      </w:r>
      <w:r>
        <w:rPr>
          <w:rFonts w:ascii="Times New Roman;Times;Serif" w:hAnsi="Times New Roman;Times;Serif"/>
          <w:b w:val="false"/>
          <w:i/>
          <w:caps w:val="false"/>
          <w:smallCaps w:val="false"/>
          <w:sz w:val="20"/>
        </w:rPr>
        <w:t>JDM: Japanese Drift Master</w:t>
      </w:r>
      <w:r>
        <w:rPr>
          <w:rFonts w:ascii="Times New Roman;Times;Serif" w:hAnsi="Times New Roman;Times;Serif"/>
          <w:b w:val="false"/>
          <w:i w:val="false"/>
          <w:caps w:val="false"/>
          <w:smallCaps w:val="false"/>
          <w:sz w:val="20"/>
        </w:rPr>
        <w:t xml:space="preserve"> in May 2025. At this time of this Report, 4Divinity has either published or co-published more than 15 game titles. We typically have limited control over the work performed by the development company and are therefore subject to additional risks than if our own employees were developing and operating our games, such that completion of our games and their publication could be delayed due to the development company’s failure to adhere to our milestones and roadmaps, or political or other risks in the foreign country in which the development company operates. If our third-party game development companies fail to complete development milestones in accordance with our game development roadmap, or do not perform in accordance with our agreements with them, it could adversely affect the development of our games that are the subject of that agreement, including delaying their availability for launch and their performance once launched, which could materially and adversely impact our ability to meet our forecasts.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co-published game is launched, we will be reliant on the development company’s ability to maintain an adequate number of knowledgeable and experienced personnel to operate and maintain the co-developed game or existing game successfully and to develop and implement future game updates, patches and bug fixes, as well as provide ongoing support services. If the development companies fail to operate and maintain the co-developed game or existing game, it could adversely affect such game’s performance and gamer satisfaction, and our business may suffer as a result. Further, if the game development companies breached our agreements with them, or unilaterally elected to discontinue providing services, we would have to find a substitute provider or replace the lost services internally, which could disrupt the operation of the games and result in dissatisfied gamers, increased expenses, lost revenues,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co-published game may incorporate intellectual property owned by the applicable development company. In such cases, we have or will obtain licenses to use the intellectual property as integrated with and into the co-developed game, but we will not own such intellectual property. If the third-party game developer challenged our right to use its intellectual property or the manner in which we use such intellectual property, it could materially and adversely affect our ability to continue to publish the co-developed 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invest in, establish and maintain awareness of our brands and games, or if we incur excessive expenses promoting and maintaining our brands or our games, our business, financial condition, results of operations, or reputation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establishing and maintaining our brands is critical to maintaining and creating favorable relationships with gamers and content licensors, as well as competing for key talent. Increasing awareness of our brands and recognition of our games is particularly important in connection with our strategic focus on further publishing opportunities and entering game creation and development opportunities. In addition, we have only recently began to expand into publishing and entertainment properties management by bringing forth different monetization solutions for the game IP. Although we make significant sales and marketing expenditures in connection with the launch of our games, these efforts may not succeed in increasing awareness of our brands or the new games. If we fail to increase and maintain brand awareness and consumer recognition of our games, our potential revenue could be limited, our costs could increase, and our business, financial condition, results of operations, or reputation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video game industry is very competitive. If consumers prefer our competitors’ games over the ones we distribute or develop, our operating results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video game industry is intense. A relatively small number of “hit” game titles can account for a large portion of total sales revenue in our industry. “Hit” game titles offered by our competitors may take a larger share of consumer spending than we anticipate, which could cause our sales revenue to drop. As our business is also dependent upon our ability to develop “hit” game titles, which require increasing budgets for development and marketing, the availability of significant financial resources has become a major competitive factor in developing and marketing games. Some of our competitors have greater financial, technical, personnel, and other resources than we do and are able to finance larger budgets for development and marketing and make higher offers to licensors and developers for commercially desirable properties. For instance, large game publishers, such as NetEase and Tencent, and global interactive entertainment companies such as Electronic Arts Inc. and Activision Blizzard, Inc. all have games that compete with the games we distribute or develop. Some of these current and potential competitors have significant resources, can incorporate their own strong brands and assets into their games, have a more diversified set of revenue sources than we do and may be less severely affected by changes in consumer preferences, regulations or other developments that may impact our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PC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compete with a vast number of small companies and individuals who are able to create and launch video games and other content for devices and platforms using relatively limited resources and with relatively limited start-up time or expertise. The proliferation of titles in these open developer channels makes it difficult for us to compete for gamers without substantially increasing our marketing expenses. Our game titles also compete with other forms of entertainment, such as social media and casual games, in addition to motion pictures, television and audio and video products featuring similar themes, online computer programs and other entertainment, which may be less expensive or provide other advantages to consumers. Increasing competition could result in loss of gamers, increasing gamer acquisition and retention costs, and loss of talent, all of which could harm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grow our business through strategic acquisitions, investments, and joint ventures that involve numerous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grow our business through strategic transactions, including acquisitions, investments, and joint ventures, that involve numerous risks and uncertainties. We have previously closed several such transactions, including our acquisition of Martiangear, Starry Jewelry, 2Game, and Ban Leong, and in the future expect to continue to be in, various stages of seeking, evaluating, and pursuing additional strategic transactions in Asia. These transactions often require unique approaches to integration due to, among other reasons, the structure of the transactions, the locations, and cultural differences among the other company’s teams and ours, and have required and will continue to require significant attention from our management team. If we are unable to obtain the anticipated benefits from these transactions, or if we encounter difficulties in integrating any acquired operations with our business, our financial condition and results of operations could be materially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made an equity investment in Nekcom, and may in the future invest in other studios and companies to further our key strategic initiatives, such as IP development. Investments involve risks and uncertainties, some of which may differ from those historically associated with our console game and computer hardware distribution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and risks from such acquisitions, investments, and joint ventures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identify, compete effectively for, or complete suitable acquisitions and investments at prices we consider attractive;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estimate accurately the financial effect of acquisitions and investments on our business, our ability to estimate accurately any synergies or the impact on our results of operations of such acquisitions and investments;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acquired products, technologies or capabilities, particularly with respect to any that are still in development when acquired, may not perform as expected, may have defects, or may not be integrated into our business as expected;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acquired entities or joint ventures may not achieve expected business growth or operate profitably, which could adversely affect our results of operations, and we may be unable to recover investments in any such acquisitions or joint ventures;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assumption of legal or regulatory risks, particularly with respect to smaller businesses that have immature business processes and compliance programs, or litigation we may face with respect to the acquired company, including claims from terminated employees, gamers, former shareholders, or other third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effects on business initiatives and strategies from the changes and potential disruption that may follow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68"/>
        <w:gridCol w:w="200"/>
        <w:gridCol w:w="3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diversion of our management’s attention;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declining employee morale and retention issues resulting from changes in compensation, or changes in management, reporting relationships, or future prospects;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integrate the operations, systems, technologies, products, and personnel of each acquired company, the inefficiencies and lack of control that may result if such integration is delayed or not implemented, and unforeseen difficulties and expenditures that may arise in connection with integration;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difficulty in determining the appropriate purchase price of acquired companies may lead to the overpayment of certain acquisitions and the potential impairment of intangible assets and goodwill acquired in the acquisitions;</w:t>
            </w:r>
          </w:p>
        </w:tc>
      </w:tr>
    </w:tbl>
    <w:p>
      <w:pPr>
        <w:pStyle w:val="TextBody"/>
        <w:bidi w:val="0"/>
        <w:spacing w:before="0" w:after="0"/>
        <w:ind w:left="0" w:right="0" w:hanging="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68"/>
        <w:gridCol w:w="200"/>
        <w:gridCol w:w="8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difficulty in successfully evaluating and utilizing the acquired products, technology, or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acquisitions, investments, and joint ventures may require us to spend a significant amount of cash, to incur debt, resulting in increased fixed payment obligations and could also result in covenants or other restrictions on us, or to issue capital stock, resulting in dilution of ownership of our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implement controls, procedures, and policies appropriate for a larger, U.S. public company as companies that prior to acquisition may not have as robust controls, procedures, and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difficulty in accurately forecasting and accounting for the financial impact of an acquisition transaction, including accounting charges and integrating and reporting results for acquired companies that have not historically followed U.S. GAAP;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fact that we may be required to pay contingent consideration in excess of the initial fair value, and contingent consideration may become payable at a time when we do not have sufficient cash available to pay such consideration;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fees and costs of legal, accounting, and other professional advisors engaged by us for such acquisitions, which may be substantial;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purchase accounting, we may be required to write off deferred revenue which may impair our ability to recognize revenue that would have otherwise been recognizable which may impact our financial performance or that of the acquired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expansion into new international markets and doing business internationally, including those described under the caption “</w:t>
            </w:r>
            <w:r>
              <w:rPr>
                <w:rFonts w:ascii="Times New Roman;Times;Serif" w:hAnsi="Times New Roman;Times;Serif"/>
                <w:i/>
                <w:sz w:val="20"/>
              </w:rPr>
              <w:t>Our international operations are, and our strategy to expand internationally will be, subject to increased challenges and risks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foreign acquisitions, the need to integrate operations across different regulatory environment, cultures and languages and to address the particular economic, currency, political, and regulatory risks associated with specific countries;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loss of, or harm to, our relationships with employees, gamers, content licensors, and other suppliers as a result of integration of new businesses;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the accuracy and completeness of statements and disclosures made or actions taken by the companies we acquire or their representatives, when conducting due diligence and evaluating the results of such due diligence;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for activities of the acquired company before the acquisition, including intellectual property and other litigation claims or disputes, cyber and information security vulnerabilities, violations of laws, rules, and regulations, commercial disputes, tax liabilities, and other known and unknown liabilities;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effectively influence the operations of our joint ventures, or we may be exposed to certain liabilities if our joint venture partners do not fulfill their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of an acquisition, investment, or joint venture may also take considerable time to develop, and we cannot be certain that any particular transaction will produce the intended benefits, which could adversely affect our business, financial condition, or results of operations. Our ability to grow through future acquisitions, investments, and joint ventures will depend on the availability of suitable candidates at an acceptable cost, our ability to compete effectively to attract these candidates, and the availability of financing to complete larger transactions. In addition, depending upon the duration and extent of shelter-in-place, travel and other business restrictions adopted by us and imposed by various governments in response to the COVID-19 pandemic or other future health epidemics or contagious disease outbreaks, we may encounter challenges in evaluating future acquisitions, investments, and joint ventures and integrating personnel, business practices, and company cultures from acquired companies. Acquisitions, investments, and joint ventures could result in potential dilutive issuances of equity securities, use of significant cash balances or incurrence of debt (and increased interest expense), contingent liabilities or amortization expenses related to intangible assets, or write-offs of goodwill or intangible assets, which could adversely affect our results of operations and dilute the economic and voting rights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our business, financial condition, results of operations and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have entered into and plan to pursue a wide array of potential strategic transactions, including strategic investments, alliances, partnerships, joint ventures and acquisitions, in each case relating to businesses, technologies, services and other assets that we expect to complement our business or that we believe will help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types of transactions involve numerous risks, including, among others: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for suitable targets and partners, which could increase prices and adversely affect our ability to consummate deals on favorable or acceptable terms;</w:t>
            </w:r>
          </w:p>
        </w:tc>
      </w:tr>
    </w:tbl>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105"/>
        <w:gridCol w:w="200"/>
        <w:gridCol w:w="80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technologies, terms and arrangements, which may be difficult to implement and manage;</w:t>
            </w:r>
          </w:p>
        </w:tc>
      </w:tr>
    </w:tbl>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200"/>
        <w:gridCol w:w="34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or delays in closing transactions;</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brand identity, technologies, operations, existing contracts, and personnel;</w:t>
            </w:r>
          </w:p>
        </w:tc>
      </w:tr>
    </w:tbl>
    <w:p>
      <w:pPr>
        <w:pStyle w:val="TextBody"/>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200"/>
        <w:gridCol w:w="95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implementing our corporate or compliance policies and guidelines with the acquired entities effectively;</w:t>
            </w:r>
          </w:p>
        </w:tc>
      </w:tr>
    </w:tbl>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realize the anticipated return on investment, benefits or synergies;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provisions which prevent us from providing a particular service outside of the strategic alliance or partnership in a particular jurisdiction which could serve to limit access to business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identify the problems, liabilities, or other shortcomings or challenges of an acquired company, partner or technology, including but not limited to issues related to intellectual property, cybersecurity risks, regulatory compliance practices, litigation, security interests over assets, contractual issues, revenue recognition or other accounting practices, or employee or user issues;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into business activities where we have limited experience, such as brick-and-mortar businesses, or no experience at 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retain key employees, to ensure that we can preserve value in the existing platform and avoid loss of institutional knowledge;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regulatory bodies do not approve our acquisitions or business combinations or delay such approvals or other adverse reactions from regulators, which may result in blockade, delay or restructuring of such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that require adjustments to our business or shareholding or rights in relation to subsidiaries or joint ventures;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use of cash or incurrence of debt to finance the transactions may restrict our business and any issuance of equity and/or convertible note to finance or otherwise complete the transactions may result in dilution to our shareholders;</w:t>
            </w:r>
          </w:p>
        </w:tc>
      </w:tr>
    </w:tbl>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105"/>
        <w:gridCol w:w="200"/>
        <w:gridCol w:w="60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reactions to acquisitions by investors and other stakeholders;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our management from executing our existing strategic plan as each strategic transaction will require management time and resources to negotiate, execute and integrate.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or other problems encountered in connection with past or future transactions such as the foregoing, or if we fail to successfully integrate or manage such transactions,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raise additional funds through sale of equity or convertible debt securities in order to fuel business growth and that may cause substantial dilution to our current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fuel the growth of our business, we plan to raise financing through sale of equity or convertible debt securities in the near future. However, there is no assurance that such financing will be available to us when needed, or if available, on terms that are favorable to us. Should the financing we require be unavailable to us, or on terms unacceptable to us when we require it, we may have to delay, curtail or alter our strategic acquisition or business plans, and as a result, our business, operating results, financial condition, and prospects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 ATW currently holds a warrant to purchase 1,125,000 ordinary shares at an initial exercise price of $8.00 per share. However, the exercise price of this April 2026 Warrant is subject full-ratchet anti-dilution adjustments and other price protections in the event of, among other things, a reverse stock split or share combination. 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variable-rate indebtedness exposes us to interest rate risk, which could increase our debt service obligations and adversely affect our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Ban Leong was financed in part by a $38.7 million secured term loan facility with The Hongkong and Shanghai Banking Corporation Limited (“HSBC”). The HSBC term loan facility is secured by all assets of GCL Global SG, and bears a floating interest rate ranging from 2.5% to 7.5%. It has a five-year term, and requires quarterly repayments starting in August 2025, with the final installment due in May 2030. The Company has obtained other long term bank loans from HSBC for an aggregate of approximately $3 million, due starting from February 2027. These bank loans bear interest rates per annum from 6.33%.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loan facilities with HSBC are subject to variable interest rates and our borrowings under any future indebtedness may also bear interest at variable rates, exposing us to interest rate risk. Increases in interest rates could result in higher interest expense on our outstanding indebtedness, even if the principal amount remains unchanged, which could reduce our profitability and cash flows, including cash available to service our debt. The extent of our exposure to interest rate risk depends on market interest rates and the amount of our variable-rate indebtedness outstanding from time to time. Although we may seek to manage a portion of this risk through various strategies, including entering into interest rate hedging arrangements, we are not required to do so, and any such arrangements may not fully or effectively mitigate our exposure to rising interest rates. As a result, fluctuations in interest rates could materially and adversely affect our business,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or may be subject to contractual covenants which place certain limitations on how we manage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credit agreements we have with banks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may limit our ability to take various actions, including incurring additional debt, paying dividends, repurchasing shares, and acquiring or disposing of assets or businesses. Accordingly, we may be restricted from taking actions that management believes would be desirable and in the best interests of us and our shareholders. Our Credit Agreement also requires us to satisfy specified financial covenants and comply with other affirmative and negative covenants. A breach of any of the covenants contained in our Credit Agreement could result in an event of default, which would allow our lenders to pursue various remedies, including accelerating the repayment of any outstanding indebtedness under our Credit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International Operations, Legal and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numerous legal and regulatory risks that could have an adverse impact on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with no material operations on its own, we conduct all our operations through our subsidiaries in Singapore, Hong Kong, Malaysia, China, the United Kingdom, Japan, Brazil, Thailand, Taiwan and the United Arab Emirates. We are subject to various regulations in each of the jurisdictions in which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areas of regulatory risk that we are exposed to include, among others: (i) evolution of laws and regulations applicable to game distribution and video game development, (ii) various forms of data regulation such as data localization, data portability, cybersecurity and advertising or marketing, (iii) antitrust regulations, (iv) foreign ownership restrictions, (v) artificial intelligence regulation and (vi) regulations regarding the provision of online services, including with respect to the internet, mobile devices and e-commerce.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be able to obtain all the licenses, permits and approvals that may be necessary to provide our game publishing and those we plan to publish. Because the gaming industry, in which we operate and which includes gaming devices technology, continues to develop, the relevant laws and regulations, are always evolving in certain jurisdictions and their interpretations may be unclear. This can make it difficult for us to assess which licenses and approvals are necessary for our business, or the processes for obtaining such licenses in certain jurisdictions. For these reasons, we also cannot be certain that we will be able to maintain the licenses and approvals that we have previously obtained, or that once they expire, we will be able to renew them. We cannot be sure that its interpretations of the rules and their exemptions have always been or will be consistent with those of the local regulators. As we expand our businesses to gaming development area, we may be required to obtain new licenses and will be subject to additional laws and regulations in the markets we plan to operate in. For example, depending on the types of games that we offer and distribute to the customers and the way of distribution, we may need to obtain permits or licenses under the Gambling Control Act 2022 of Singapore and the Films Act 1981 of Singapore. Please refer to “</w:t>
      </w:r>
      <w:r>
        <w:rPr>
          <w:rFonts w:ascii="Times New Roman;Times;Serif" w:hAnsi="Times New Roman;Times;Serif"/>
          <w:b w:val="false"/>
          <w:i/>
          <w:caps w:val="false"/>
          <w:smallCaps w:val="false"/>
          <w:sz w:val="20"/>
        </w:rPr>
        <w:t>Business Overview - Regulations Applicable to the Company</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regulations from various regulators within each jurisdiction it operates in, and such regulators may not always act in concert. As a result, we may be subject to requirements which separately may not be materially adverse to us but when taken together could have a material impact on us. In addition, we are subject to differing, and sometimes conflicting, laws and regulations in the markets in which it operates.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we operate in different jurisdictions in Asia, we are subject to the risk that regulatory scrutiny or actions in one country may lead to other regulators taking similar actions. We may enter into exclusive regional partnership agreements with our suppliers or customers. Although we are not aware of any violations of competition laws in connection with our business model, we cannot assure you that we will not be subject to any inquiry, investigation, or even penalty from regulatory agencies in the future. In the event that a regulatory agency in one of the countries or jurisdictions initiates action against us, it may lead to other regulators taking similar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or perceived failure to comply with applicable regulation could expose it to regulatory actions, including, but not limited to, potential fines, orders to temporarily or permanently cease all or some of our business activities. Any such actions could materially and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operations are, and our strategy to expand internationally will be, subject to increased challenges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to expand our business to attract gamers outside of Asia is an important growth strategy of ours. Our ability to expand our business and to attract gamers and talented employees in other international markets we may enter will require considerable management attention and resources and is subject to the particular challenges of supporting a rapidly growing business in an environment of multiple languages, cultures, customs, economics, legal systems, alternative dispute systems, regulatory systems, and commercial infrastructures.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international focus may subject us to risks that we have not faced before or increase risks that we currently face, including risks associated with:</w:t>
      </w:r>
    </w:p>
    <w:p>
      <w:pPr>
        <w:pStyle w:val="TextBody"/>
        <w:bidi w:val="0"/>
        <w:spacing w:before="0" w:after="0"/>
        <w:ind w:left="0" w:right="0" w:firstLine="36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05"/>
        <w:gridCol w:w="200"/>
        <w:gridCol w:w="48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offer certain games in certain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05"/>
        <w:gridCol w:w="200"/>
        <w:gridCol w:w="77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and retaining talented and capable management and employees in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05"/>
        <w:gridCol w:w="200"/>
        <w:gridCol w:w="54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caused by distance, language, and cultural differences;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customizing games and other offerings that appeal to the tastes and preferences of gamers in international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local game makers with intellectual property rights and significant market share in those markets and with a better understanding of gamer preferences;</w:t>
            </w:r>
          </w:p>
        </w:tc>
      </w:tr>
    </w:tbl>
    <w:p>
      <w:pPr>
        <w:pStyle w:val="TextBody"/>
        <w:bidi w:val="0"/>
        <w:spacing w:before="0" w:after="0"/>
        <w:ind w:left="0" w:right="0" w:hanging="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utilizing, protecting, defending, and enforcing our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agreements with local distribution platforms that are sufficiently economically beneficial to us and protective of our rights;</w:t>
            </w:r>
          </w:p>
        </w:tc>
      </w:tr>
    </w:tbl>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extend proprietary rights in our brand, content, or technology into new jurisdictions;</w:t>
            </w:r>
          </w:p>
        </w:tc>
      </w:tr>
    </w:tbl>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05"/>
        <w:gridCol w:w="200"/>
        <w:gridCol w:w="96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foreign laws and regulations, including laws relating to content and consumer protection;</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105"/>
        <w:gridCol w:w="200"/>
        <w:gridCol w:w="65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anti-bribery laws, including the Foreign Corrupt Practices Act;</w:t>
            </w:r>
          </w:p>
        </w:tc>
      </w:tr>
    </w:tbl>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05"/>
        <w:gridCol w:w="200"/>
        <w:gridCol w:w="38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and higher levels of payment fraud;</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w:t>
            </w:r>
          </w:p>
        </w:tc>
      </w:tr>
    </w:tbl>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05"/>
        <w:gridCol w:w="200"/>
        <w:gridCol w:w="70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protectionist laws and business practices that favor local businesses in some countries;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 taxation of our international earnings and potentially adverse tax consequences due to changes in the tax laws of the U.S. or the foreign jurisdictions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05"/>
        <w:gridCol w:w="200"/>
        <w:gridCol w:w="35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such as the COVID-19 pandemic and other future health epidemics or contagious disease outbreaks, which can result in varying impacts to our employees, gamers, vendors, and commercial partners internationally;</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associated with doing business internationally;</w:t>
            </w:r>
          </w:p>
        </w:tc>
      </w:tr>
    </w:tbl>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or import regulations; and</w:t>
            </w:r>
          </w:p>
        </w:tc>
      </w:tr>
    </w:tbl>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05"/>
        <w:gridCol w:w="200"/>
        <w:gridCol w:w="22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tariff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complexity of our global operations successfully, our business, financial condition, and operating results could be adversely affected. Additionally, our ability to successfully gain market acceptance in any particular market is uncertain, and the distraction of our senior management team could harm our business, financial condition, or results of operations. Please refer to “</w:t>
      </w:r>
      <w:r>
        <w:rPr>
          <w:rFonts w:ascii="Times New Roman;Times;Serif" w:hAnsi="Times New Roman;Times;Serif"/>
          <w:b w:val="false"/>
          <w:i/>
          <w:caps w:val="false"/>
          <w:smallCaps w:val="false"/>
          <w:sz w:val="20"/>
        </w:rPr>
        <w:t>Business Overview - Regulations Applicable to the Company</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tariffs and treaties affecting imports and exports may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 Tariffs, or the threat of tariffs or increased tariffs, could have a significant negative impact on our business. We may not be able to adequately address the risks presented by these tariffs or other potential trade policy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by us or our vendors to comply with applicable anti-money laundering or other related laws and regulations could damage its business, reputation, financial condition, and results of operation, or subject it to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payment systems may, in certain jurisdictions, be governed by laws and regulations related to payment and financial services activities, including, among other things, laws and regulations relating to banking, cross-border and domestic money transmission, anti-money laundering, counter-terrorist financing, electronic funds transfers, systemic integrity risk assessments, cybersecurity of payment processes, import and export restrictions and consumer protection. Our payment system may be susceptible to illegal and improper uses, including money laundering, terrorist financing, fraudulent sales of goods or services, and payments to sanctioned parties. These laws and regulations to which we are now, or in the future may be, subject are highly complex, may be vague, and could change and may be interpreted to make it difficult or impossible for us to comply with them. In addition, we may in the future offer new payment options that may be subject to additional regulations and risks. If we fail to comply with applicable laws and regulations, it may be subject to civil or criminal penalties, fines, and higher transaction fees, and we may lose its ability to accept or process online payment, payment card or other related transactions, which could make services on our games less convenient and attractive. In the event of any failure to comply with applicable laws and regulations, our business, financial condition, results of operations and prospects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laws and regulations related to online payments are evolving, and changes in such laws and regulations could affect our ability to provide services on its platform in the manner that it has done, expects to do, or at all. In addition, as we evolve our business or make changes to our operations, it may be subject to additional laws and regulations. Historical or future non-compliance with these laws and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operating and investing in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significant portion of its revenue from its operations in Asia, and we intend to continue to develop and expand our business and penetration in the region. Our operations and investments in Asia are subject to various risks related to the economic, political and social conditions of the countries in which we operate. For example, steep increase in tariffs placed on our console games and gaming consoles could materially adversely affect our results of operations if we cannot successfully pass onto the consumers the increased costs as a result of these tariffs, or if the resulting increased price would result in a decreased demand for the game titles we distribute or publish. Some of the other risks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inconsistent and evolving regulations, licensing and legal requirements may increase our operational risks and cost of operations among the countries in Asia in which we operates;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may be devalued or may depreciate or currency restrictions or other restraints on transfer of funds may be imposed;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inflation within Asia generally and/or within any specific country in which we operate may increase our cost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05"/>
        <w:gridCol w:w="200"/>
        <w:gridCol w:w="75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regulators may impose new or more burdensome regulations, taxes or tariffs;</w:t>
            </w:r>
          </w:p>
        </w:tc>
      </w:tr>
    </w:tbl>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200"/>
        <w:gridCol w:w="90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changes may lead to changes in the business, legal and regulatory environments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political instability, civil disturbances, war, military conflict, religious or ethnic strife, terrorism and general security concerns may negatively affect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enactment or any increase in the enforcement of regulations, including, but not limited to, those related to personal data protection and localization and cybersecurity, may incur compliance 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pandemics or disease outbreaks (including the COVID-19 outbreak) may affect our operations and demand for its gaming products; and</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05"/>
        <w:gridCol w:w="200"/>
        <w:gridCol w:w="91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like volcanic eruptions, floods, typhoons and earthquakes may impact our operations severely.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laws in the countries in which we operate may change and their interpretation and enforcement may involve significant uncertainties that could limit the reliability of the legal protections available to us. We cannot predict the effects of future developments in the legal regimes in the countries in which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and net income may be materially and adversely affected by any economic slowdown or developments in the social, political, regulatory and economic environments in Asia as well as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social, political, regulatory and economic developments in countries in which we operate. We derive a significant portion of its revenue from our operations in Asia and are exposed to political and economic uncertainties, including, but not limited to, the risks of war, terrorism, nationalism, nullification of contract, changes in interest rates, imposition of capital controls and methods of taxation that affect consumer confidence, consumer spending, consumer discretionary income or changes in consumer purchasing habits. As a result, our revenue and net income could be impacted to a significant extent by economic conditions in Asia and globally.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and operations are located in Asia. The economies in certain Asian countries differ from most developed markets in many respects, including the level of government involvement, level of development, growth rate, control of foreign exchange, government policy on public order and allocation of resources. In some of the Asian markets, governments continue to play a significant role in regulating industry development by imposing industrial policies. Moreover, some local governments also exercise significant control over the economic growth and public order in their respective jurisdictions through allocating resources, controlling payment of foreign currency-denominated obligations, setting monetary policies, and providing preferential treatment to particular industries or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Asia economy, as a whole, has experienced significant growth over the past decades, growth has been uneven, both geographically and among various sectors of the economy. Any adverse changes in economic conditions in Asia, or in the policies of the governments or of the laws and regulations in each respective market could have a material adverse effect on the overall economic growth of Asia. Such developments could adversely affect our business and operating results, lead to reduction in demand for our game publishing and adversely affect our competitive position. Many of the governments in Asia have implemented various measures to encourage economic growth and guide the allocation of resources. Some of these measures may benefit the overall economy, but may have a negative effect on us. For example, our financial condition and results of operations may be adversely affected by government control over foreign capital investments or changes in tax regulations. Some Asia markets have historically experienced low growth in their GDP, significant inflation and/or shortages of foreign exchange. We are exposed to the risk of rental and other cost increases due to potential inflation in the markets in which we operate. In the past, some of the governments in Asia have implemented certain measures, including interest rate adjustments, currency trading band adjustments and exchange rate controls, to control the pace of economic growth. These measures may cause decreased economic activity in Asia, which may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Asian markets have experienced, and may in the future experience, political instability, including strikes, demonstrations, protests, marches, coups d’état, guerilla activity or other types of civil disorder. These instabilities and any adverse changes in the political environment could increase our costs, increase its exposure to legal and business risks, disrupt its office operations or affect its ability to expand our user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legal system in certain markets we operate could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enforcement of laws and regulations involve uncertainties and inconsistencies. Since local administrative and court authorities and in certain cases, independent organizations, have significant discretion in interpreting and implementing statutory provisions and contractual terms, it may be difficult to evaluate the outcome of administrative and court proceedings and the level of legal protection we may enjoy in many of the jurisdictions and localities in which we operate. Moreover, local courts may have broad discretion to reject enforcement of foreign awards. These uncertainties may affect our judgment on the relevance of legal requirements and its ability to enforce our contractual rights or tort claims. In addition, the regulatory uncertainties may be exploited through unmerited or frivolous legal actions or threats in attempts to extract payments or benefits from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 number of laws and regulations may be adopted or construed to apply to us in Asia and elsewhere that could restrict our business segments. Scrutiny and regulation of the business segments in which we operate may further increase, and we may be required to devote additional legal and other resources to addressing these regulations. Changes in current laws or regulations or the imposition of new laws and regulations in Asia or elsewhere regarding our business segments may slow the growth of our business segments and adversely affect its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face uncertain tax liabilities in various jurisdictions where we operate, and suffer adverse financial consequences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we are in compliance with all applicable tax laws in the various jurisdictions where we are subject to tax, but its tax liabilities could be uncertain, and we could suffer adverse tax and other financial consequences if tax authorities do not agree with our interpretation of the applicable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GCL is a holding company incorporated as an exempted company under the laws of the Cayman Islands, the GCL Group collectively operates in multiple tax jurisdictions and pays income taxes according to the tax laws of these jurisdictions. Various factors, some of which are beyond our control, determine its effective tax rate and/or the amount we are required to pay, including changes in or interpretations of tax laws in any given jurisdiction and changes in geographical allocation of income. We accrue income tax liabilities and tax contingencies based upon its best estimate of the taxes ultimately expected to be paid after considering its knowledge of all relevant facts and circumstances, existing tax laws, its experience with previous audits and settlements, the status of current tax examinations and how the tax authorities view certain issues. Such amounts are included in income taxes payable or deferred income tax liabilities, as appropriate, and are updated over time as more information becomes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we are filing tax returns and paying taxes in each jurisdiction where we are required to do so under the laws of such jurisdiction. However, it is possible that the relevant tax authorities in the jurisdictions where we do not file returns may assert that we are required to file tax returns and pay taxes in such jurisdictions. There can be no assurance that the subsidiaries will not be taxed in multiple jurisdictions in the future, and any such taxation in multiple jurisdictions could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from time to time, be subject to inquiries or audits from tax authorities of the relevant jurisdictions on various tax matters, including challenges to positions asserted on income and withholding tax returns. We cannot be certain that the tax authorities will agree with its interpretations of the applicable tax laws, or that the tax authorities will resolve any inquiries in its favor. To the extent the relevant tax authorities do not agree with its interpretation, we may seek to enter into settlements with the tax authorities which may require significant payments and may adversely affect its results of operations or financial condition. we may also appeal against the tax authorities’ determinations to the appropriate governmental authorities, but we cannot be sure we will prevail. If our appeal does not prevail, it may have to make significant payments or otherwise record charges (or reduce tax assets) that could adversely affect its results of operations, financial condition and cash flows. Similarly, any adverse or unfavorable determinations by tax authorities on pending inquiries could lead to increased taxation on us, that may adversely affect its business, financial condition and results of operations and may also impact its reputation, including but not limited to tax and other regulatory authorities in Asia.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Companies and governmental agencies may restrict access to platforms, our website or the Internet generally, which could lead to the loss or slower growth of our gamer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gamers generally need to access the Internet. Access to the Internet in a timely fashion is necessary to provide a satisfactory gamer experience to the gamers of our games. Companies and governmental agencies could block access to any platform, our website, or the Internet generally, or could limit the speed of data transmissions, for a number of reasons such as security or confidentiality concerns or regulatory reasons. In addition, telecommunications companies may implement certain measures, such as increased cost or restrictions based on the type or amount of data transmitted, that would impact gamers’ ability to access our games. If companies or governmental entities block or limit such access or otherwise adopt policies restricting gamers from playing our games, our business could be negatively impacted and could lead to the loss or slower growth of our gamer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 Operating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uncertainties and quick change of the legal system in China with little advance notice could limit the legal protections available or impose additional requirements and obligations on our business operation in Hong Kong, which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based in Singapore and our major markets are in Southeast Asia, we have recently formed three indirect wholly-owned subsidiaries in China to support our collaboration efforts with game developers in China. We are subject to certain risks related to operating business in China. Epicsoft Hong Kong and 2Game, two of the Company’s subsidiaries, are located in Hong Kong. The PRC government currently does not directly govern the manner in which Epicsoft Hong Kong and 2Game conduct their business activities outside of mainland China. However, despite the current Hong Kong legal environment of “One Country, Two Systems,” the PRC government may still exert substantial influence, discretion, oversight, and control over the manner in which Hong Kong-based companies must conduct their business activities. The PRC legal system is a civil law system based on written statutes. Unlike the common law system, prior court decisions under the civil law system may be cited for reference but have limited precedential value. The legal system in China evolves rapidly and new laws, regulations and rules may be adopted from time to time with or without advance notice. These laws, regulations, and legal requirements are constantly changing and their interpretation and enforcement involve inconsistency and uncertainties. In addition, the enforcement of laws and that rules and regulations in China can change quickly with little advance notice. These uncertainties could limit the legal protections available to us. Further, the PRC government has significant oversight and discretion over the conduct of our business in Hong Kong and may intervene or influence our operations as the government deems appropriate to further regulatory, political and societal goals. Please refer to “</w:t>
      </w:r>
      <w:r>
        <w:rPr>
          <w:rFonts w:ascii="Times New Roman;Times;Serif" w:hAnsi="Times New Roman;Times;Serif"/>
          <w:b w:val="false"/>
          <w:i/>
          <w:caps w:val="false"/>
          <w:smallCaps w:val="false"/>
          <w:sz w:val="20"/>
        </w:rPr>
        <w:t>Business Overview - Regulations Applicable to the Company - Regulations in Hong Kong</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future developments in the PRC legal system, particularly with regard to internet-related industries, including the promulgation of new laws, changes to existing laws or the interpretation or enforcement thereof, or the preemption of local regulations by national laws. Such unpredictability towards its contractual, property (including intellectual property) and procedural rights could adversely affect our business and impede our ability to continue its operations. Any such intervention in or influence on our business operations or action to exert more oversight and control over securities offerings and other capital markets activities, once taken by the PRC government, could adversely affect our business, financial condition and results of operations and the value of the GCL’s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gaming industry in China is subject to a variety of PRC laws and regulations, many of which are unsettled and still developing, and which could subject us or our resellers to claims or otherwise harm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gaming industry is subject to a variety of laws in China, including but not limited to those regarding gaming, consumer protection, electronic marketing, competition, taxation, intellectual property, export and national security, which are continuously evolving and developing. The scope and interpretation of the laws are or may be applicable to the gaming industry are often uncertain and may be conflicting. There is a risk that existing or future laws may be interpreted in a manner that is not consistent with the gaming industry’s current practices and could have an adverse effect on us or our resellers’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and other developments or regulations, whether existing or to be implemented, may have an adverse effect on our resellers’ business, financial condition, results of operations and growth prospects. Furthermore, as uncertainties remain regarding the development, interpretation and implementation of notices, laws and regulations, our resellers may become subject to additional compliance costs and liabilities under such laws and regulations and our resellers may be ordered to rectify or terminate any actions that are deemed illegal by regulatory authorities. Our resellers may also become subject to fines and/or other sanctions which may have material adverse effect on our business,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lack of requisite approvals, licenses, or permits applicable to our resellers’ business may have a material and adverse impact on our resellers’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relevant laws and regulations in jurisdictions in which our resellers operate, our resellers are required to maintain various approvals, licenses, and permits to operate their business, including but not limited to business license, online publishing service license, publishing electronic publications license, and value-added telecommunications business license. These approvals, licenses, and permits are obtained upon satisfactory compliance with, among other things, the applicable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resellers fail to obtain the necessary licenses, permits and approvals, they may be subject to fines, confiscation of revenues generated from incompliance operations, or the suspension of relevant operations. The games that we distribute may also experience adverse publicity arising from such non-compliance with government regulations that negatively impacts its brand. Our resellers may experience difficulties or failures in obtaining the necessary approvals, licenses, and permits for new spaces or new service offerings. If our resellers fail to obtain the material licenses, our game offerings and business activities could be severely delayed in the PRC market. In addition, there can be no assurance that our resellers will be able to obtain, renew, and/or convert all of the approvals, licenses, and permits required for its existing business operations upon their expiration in a timely manner or at all, which could adversely affect our resellers’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GCL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GCL Group’s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GCL, members of GCL Group’s management team had no experience managing a publicly-traded company, interacting with public company investors, and complying with the increasingly complex laws, rules and regulations that govern public companies. GCL has significant obligations relating to reporting, procedures and internal controls. These new obligations and scrutiny will continue to require significant attention from management and could divert their attention away from the day-to-day management of GCL Group’s business, which could adversely affect its business,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connection with the preparation of the Company’s consolidated financial statements for the fiscal year 2026, the Company identified material weaknesses in its internal control over financial reporting, as defined in the standards established by the PCAOB. Failure to maintain effective internal controls over financial reporting could have a material adverse effect on GCL’s business, operating results and stock price.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publicly listed company. The standards required for a public company under Section 404(a) of the Sarbanes-Oxley Act are significantly more stringent than those required of a privately held company. Management may not be able to effectively and timely implement controls and procedures that adequately respond to the increased regulatory compliance and reporting requirements. If GCL is not able to comply with the additional requirements of Section 404(a) of the Sarbanes-Oxley Act in a timely manner or with adequate compliance, it may not have effective internal controls over financial reporting, which may subject it to adverse regulatory consequences and could harm investor confidence and the market price of GCL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GCL’s independent registered public accounting firm is not required to report on the effectiveness of its internal control over financial reporting pursuant to Section 404(b) of the Sarbanes-Oxley Act of 2002 until GCL’s first Form 20-F following the date on which it ceases to qualify as an “emerging growth company,” which may be up to five full fiscal years following the date of the first sale of common equity securities pursuant to an effective registration statement. Since GCL is an accelerated filer, the Section 404(b) auditor attestation requirement will apply immediately upon it ceasing to be an emerging growth company, without any additional transition period. In connection with the preparation of the Company’s consolidated financial statements for fiscal year 2026, the Company identified material weaknesses in its internal control over financial reporting, as defined in the standards established by the PCAOB. The material weakness identified related to (1) Lack of effective monitoring and evaluation of the design and operating effectiveness of internal controls over financial reporting, including those related to: (i) timely identification and assessment of the accounting treatment of complex transactions and the related impact including fair valuation adjustments; and (ii) formal period-end closing and financial reporting policies and procedures in accordance with U.S. GAAP and financial reporting requirements set forth by the SEC, and (2) Lack of information technology general controls in the areas of IT policies and procedures, access management, change management, oversight of outsourced IT services and maintenance of documentary evidence supporting IT processes. To remediate the material weaknesses, the Company will implement the following measures (A) design an effective control framework and strengthen the monitoring function over the financial reporting process; (B) implement a formal process to identify complex or non-routine transactions at inception and throughout their lifecycle. Accounting implications and conclusions documented in U.S. GAAP technical accounting memoranda by technical accounting specialists or valuation specialists will be subjected to management review and approval prior to recording the transaction in the financial statements; and (C) formulate and implement formal IT general controls in the areas of IT policies and procedures, access management, change management, oversight of outsourced IT services and maintenance of documentary evidence supporting IT processes. In addition, GCL cannot predict the outcome of this determination and whether GCL will need to implement remedial actions in order to implement effective control over financial reporting. If in subsequent years GCL is unable to maintain effective internal control over financial reporting, or if GCL’s auditors express an opinion that GCL’s internal control over financial reporting is ineffective, GCL may fail to meet the future reporting obligations in a timely and reliable manner and its financial statements may contain material misstatements. Any such failure could also adversely cause GCL’s investors to have less confidence in the accuracy and completeness of its financial reports, which could have a material adverse effect on the price of GCL’s securities. 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market price of our ADSs may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GCL is a foreign private issuer and is exempt from certain Nasdaq corporate governance standards applicable to U.S. issuers, you will have less protection than you would have if it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GCL’s status as a foreign private issuer exempts it from compliance with certain Nasdaq corporate governance requirements if it instead complies with the statutory requirements applicable to a Cayman Islands exempted company. The statutory requirements of GCL’s home country of Cayman Islands do not strictly require a majority of its board to consist of independent directors. Thus, although a director must act in the best interests of GCL, it is possible that fewer board members will be exercising independent judgment and the level of board oversight of the management the company may decrease as a result. In addition, the Nasdaq Listing Rules also require U.S. domestic issuers to have an independent compensation committee with a minimum of two members, a nominating committee, and an independent audit committee with a minimum of three members. GCL, as a foreign private issuer, with the exception of needing an independent audit committee composed of at least two members, is not subject to these requirements. The Nasdaq Listing Rules may also require shareholder approval for certain corporate matters that GCL’s home country’s rules do not. Following Cayman Islands governance practices, as opposed to complying with the requirements applicable to a U.S. company listed on Nasdaq, may provide less protection to you than would otherwise be the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subsequently delists its securities from trading, GCL could face significant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05"/>
        <w:gridCol w:w="200"/>
        <w:gridCol w:w="49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for market quotations for its securities;</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5"/>
        <w:gridCol w:w="200"/>
        <w:gridCol w:w="38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its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its ordinary shares is a “penny stock,” which will require brokers trading in GCL Ordinary Shares to adhere to more stringent rules and possibly result in a reduced level of trading activity in the secondary trading market for GCL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p>
    <w:tbl>
      <w:tblPr>
        <w:tblW w:w="4465" w:type="dxa"/>
        <w:jc w:val="left"/>
        <w:tblInd w:w="0" w:type="dxa"/>
        <w:tblLayout w:type="fixed"/>
        <w:tblCellMar>
          <w:top w:w="0" w:type="dxa"/>
          <w:left w:w="0" w:type="dxa"/>
          <w:bottom w:w="0" w:type="dxa"/>
          <w:right w:w="0" w:type="dxa"/>
        </w:tblCellMar>
      </w:tblPr>
      <w:tblGrid>
        <w:gridCol w:w="105"/>
        <w:gridCol w:w="200"/>
        <w:gridCol w:w="41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amount of news and analyst coverage; and</w:t>
            </w:r>
          </w:p>
        </w:tc>
      </w:tr>
    </w:tbl>
    <w:p>
      <w:pPr>
        <w:pStyle w:val="TextBody"/>
        <w:bidi w:val="0"/>
        <w:spacing w:before="0" w:after="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GCL is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is an exempted company incorporated under the laws of the Cayman Islands. GCL’s corporate affairs are governed by GCL’s Amended and Restated Memorandum and Articles of Association, the Companies Act (As Revised) of the Cayman Islands and the common law of the Cayman Islands. The rights of shareholders to take action against GCL’s directors, actions by GCL’s minority shareholders and the fiduciary duties of GCL’s directors to GCL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GCL’s shareholders and the fiduciary duties of GCL’s directors under Cayman Islands law are not as clearly established as they would be under statutes or judicial precedent in some jurisdictions in the United States. In particular, the Cayman Islands have a less developed body of securities laws than the United States and provides significantly less protection to investors. In addition, some U.S. states, such as Delaware, have more fully developed and judicially interpreted bodies of corporate law than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recognition in the Cayman Islands of judgments obtained in the United States, although a judgment obtained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It may be difficult or impossible for you to bring an action against GCL or against these individuals in the Cayman Islands in the event that you believe that your rights have been infringed under the applicable securities laws or otherwise. Even if you are successful in bringing an action of this kind, the laws of the Cayman Islands may render you unable to enforce a judgment against GCL’s assets or the assets of GCL’s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GCL have no general rights under Cayman Islands law to inspect corporate records or to obtain copies of lists of shareholders of these companies. GCL’s directors have discretion under GCL’s Amended and Restated Memorandum and Articles of Association to determine whether or not, and under what conditions, its corporate records may be inspected by its shareholders, but are not obliged to make them available to its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GCL’s public shareholders may have more difficulty in protecting their interests in the face of actions taken by GCL’s management, members of the board of directors or controlling shareholders than they would as public shareholders of a company incorporated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initiate a derivative action in a federal court of the United States. As a result, your ability to protect your interests if you are harmed in a manner that would otherwise enable you to sue in a United States federal court may be limited to direct shareholder lawsuits.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under the Nasdaq rules, GCL may choose to exempt itself from certain corporate governance requirements that could have an adverse effect on our public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Jacky Choo See Wee, our Group Chairman, holds a majority of the voting power of GCL. Accordingly, GCL is a “controlled company” within the meaning of Nasdaq Listing Rule 5615. GCL therefore, is eligible to utilize certain exemptions from the corporate governance requirements of the Nasdaq Stock Market. GCL’s status as a controlled company could cause its securities to look less attractive to certain investors or otherwise harm the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controlled company, GCL is qualified for, and our board of directors, the composition of which may be controlled by Mr. Choo, may rely upon, exemptions from several of Nasdaq’s corporate governance requirements, including requirements that:</w:t>
      </w:r>
    </w:p>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05"/>
        <w:gridCol w:w="200"/>
        <w:gridCol w:w="56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board of directors consist of independent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officers, including that of the CEO, be determined or recommended to the board of directors by a majority of its independent directors or by a compensation committee comprised solely of independent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nominees be selected or recommended to the board of directors by a majority of its independent directors or by a nominating committee that is composed entirely of independent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to the extent that we may choose to rely on one or more of these exemptions, public shareholders would not be afforded the same protections afforded to the shareholders of other Nasdaq-listed companies that are subject to these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GCL is deemed to be an “emerging growth company” and, as a result of the reduced disclosure and governance requirements applicable to emerging growth companies, GCL Ordinary Shares may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is deemed to be an “emerging growth company” as defined in Section 2(a)(19) of the Securities Act, as modified by the JOBS Act, and it intends to take advantage of some of the exemptions from reporting requirements that are available to emerging growth companies, including not being required to comply with the auditor attestation requirements in the assessment of GCL’s internal control over financial reporting under Section 404(b) of the Sarbanes-Oxley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may take advantage of these reporting exemptions until it is no longer an emerging growth company. GCL will remain an emerging growth company until the earlier of (1) the last day of the fiscal year (a) following the fifth anniversary of the date of the first sale of common equity securities pursuant to an effective registration statement, (b) in which GCL has total annual gross revenue of at least $1.235 billion, or (c) in which GCL is deemed to be a large accelerated filer, which means the market value of GCL Ordinary Shares that is held by non-affiliates exceeds $700 million as of the end of its last fiscal year, and (2) the date on which GCL has issued more than $1.0 billion in non-convertible debt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cannot predict if investors will find its ordinary shares less attractive because it will rely on the accommodations and exemptions available to emerging growth companies. If some investors find GCL Ordinary Shares less attractive as a result, there may be a less active trading market for GCL Ordinary Shares and GCL’s share price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not in compliance with certain Nasdaq continued listing requirements; and if we are unable to regain compliance with Nasdaq’s continued listing requirements, our securities will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we received a notice (the “Bid Price Notice”) from Nasdaq stating that our ordinary shares failed to comply with the minimum $1.00 per share requirement for continued listing on the Nasdaq under Nasdaq Listing Rule 5450(a)(1) (the “Minimum Bid Price Rule”). Pursuant to Nasdaq Listing Rule 5810(c)(3)(A), we have an initial period of 180 calendar days, or until September 14, 2026, to regain compliance (the “Compliance Period”). Pursuant to the Bid Price Notice, if at any time during the Compliance Period the closing bid price of the ordinary shares is at least $1.00 for a minimum of ten consecutive business days, Nasdaq will provide us with written confirmation of compliance and such matter will be 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regain compliance with the Minimum Bid Price Rule during the Compliance period, we may consider applying to transfer its securities from The Nasdaq Global Select Market to The Nasdaq Capital Market, provided that we meet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we would be eligible for the additional 180 calendar day compliance period, if applicable, or that the Nasdaq staff would grant our request for continued listing. If we are unable to regain compliance with any of these continued listing requirements, our securities will be subject to delisting.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Ordinary Shares or other equity or convertible debt securities without approval of the holders of the Ordinary Shares, which would dilute existing ownership interests and may depress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or other equity or convertible debt securities of equal or senior rank in the future without approval of the holders of the Ordinary Shares in certain circumstances. Our issuance of additional Ordinary Shares or other equity or convertible debt securities of equal or senior rank would have the following effects: (1) our existing shareholders’ proportionate ownership interest may decrease; (2) the amount of cash available per share, including for payment of dividends in the future, may decrease; (3) the relative voting power of each previously outstanding Ordinary Shares may be diminished; and (4) the market price of the Ordinary Shares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our share price could subject us to securities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and, in the past, companies that have experienced volatility in the market price of their shares have been subject to securities class action litigation. We may be the target of securities class action litigation and investigations. Securities litigation against us could result in substantial costs and divert management’s attention from other business concerns, which could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expected that we will pay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we will retain most, if not all, of our available funds and any future earnings to fund the development and growth of our business. As a result, it is not expected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IRS may not agree with the position that we should be treated as a foreign corporation for U.S. federal income tax purposes, which could have a material adverse effect on our financial position and results from operations and on non-U.S. holders’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incorporated under the laws of the Cayman Islands, the IRS may assert that we should be treated as a U.S. corporation (and, therefore, a U.S. tax resident) for U.S. federal income tax purposes pursuant to section 7874 of the Code. For U.S. federal income tax purposes, a corporation is generally considered a tax resident in the jurisdiction of its organization or incorporation. Because we are incorporated under the laws of the Cayman Islands, we would generally be classified as a foreign corporation (and, therefore, a non-U.S. tax resident) for U.S. federal income tax purposes. Section 7874 provides an exception pursuant to which a foreign incorporated entity may, in certain circumstances, be treated as a U.S. corporation for U.S. federal income tax purposes. These rules are complex and require analysis of all relevant facts and circumstances, and there is limited guidance and significant uncertainties as to their application. If it were determined that we should be taxed as a U.S. corporation for U.S. federal income tax purposes under section 7874, we would be subject to U.S. federal income tax on our taxable income like any other U.S. corporation and certain distributions made by us to non-U.S. holders’ securities would be subject to U.S. withholding tax at the rate of 30% or such lower rate as provided by an applicable treaty. Taxation as a U.S. corporation could also have a material adverse effect on our financial position and results from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or become a passive foreign investment company (“PFIC”), which could result in adverse U.S. federal income tax consequences to U.S.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report captioned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or changes in interpretations of, tax laws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and non-income taxes in the United States and other countries in which we transact or conduct business, and such laws and rates vary by jurisdiction. Tax laws and regulations, including at non-U.S. and U.S. federal and local jurisdictions, frequently change, especially in relation to the interpretation of existing tax laws for new and emerging industries, and we cannot always reasonably predict the impact from, or the ultimate cost of compliance with, current or future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taxation of our business activities may increase our worldwide effective tax rate and harm our business, financial condition and results of operations. Our tax expense could also be impacted by the applicability of withholding taxes and the impact of changes in the evaluation of tax positions we have taken in prior tax periods.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herein concerning U.S. federal income or other tax consequences are based on existing law and interpretations thereof. The tax regimes to which we are subject or under which we operate, including income and non-income taxes, are unsettled and may be subject to significant change. While some of these changes could be beneficial, others could negatively affect our after-tax returns. Accordingly, no assurance can be given that the currently anticipated tax treatment will not be modified by legislative, judicial or administrative changes, possibly with retroactive effect. In addition, no assurance can be given that any tax authority or court will agree with any particular interpretation of the relevant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maintain the listing of our securities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the continued listing requirements and Nasdaq delists the Ordinary Shares,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05"/>
        <w:gridCol w:w="200"/>
        <w:gridCol w:w="54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the Ordinary Shares;</w:t>
            </w:r>
          </w:p>
        </w:tc>
      </w:tr>
    </w:tbl>
    <w:p>
      <w:pPr>
        <w:pStyle w:val="TextBody"/>
        <w:bidi w:val="0"/>
        <w:spacing w:before="0" w:after="0"/>
        <w:ind w:left="960" w:right="0" w:hanging="36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05"/>
        <w:gridCol w:w="200"/>
        <w:gridCol w:w="47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us; and</w:t>
            </w:r>
          </w:p>
        </w:tc>
      </w:tr>
    </w:tbl>
    <w:p>
      <w:pPr>
        <w:pStyle w:val="TextBody"/>
        <w:bidi w:val="0"/>
        <w:spacing w:before="0" w:after="0"/>
        <w:ind w:left="960" w:right="0" w:hanging="36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under the laws of the Cayman Islands on October 12, 2023 solely for the purpose of effectuating the Business Combination, which was consummated on February 13, 2025. The Company owns no material assets other than its interests in GCL Global and RFAC acquired in the Business Combination. On April 30, 2025, Epicsoft Asia made a conditional cash offer to purchase all issued and outstanding shares of Ban Leong. On August 25, 2025, Ban Leong became an indirect wholly-owned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operate any business other than through GCL Global, its wholly-owned subsidiary. GCL Global is Cayman Islands exempted company. See “</w:t>
      </w:r>
      <w:r>
        <w:rPr>
          <w:rFonts w:ascii="Times New Roman;Times;Serif" w:hAnsi="Times New Roman;Times;Serif"/>
          <w:b w:val="false"/>
          <w:i/>
          <w:caps w:val="false"/>
          <w:smallCaps w:val="false"/>
          <w:sz w:val="20"/>
        </w:rPr>
        <w:t>Item 5-Operating and Financial Review and Prospects”</w:t>
      </w:r>
      <w:r>
        <w:rPr>
          <w:rFonts w:ascii="Times New Roman;Times;Serif" w:hAnsi="Times New Roman;Times;Serif"/>
          <w:b w:val="false"/>
          <w:i w:val="false"/>
          <w:caps w:val="false"/>
          <w:smallCaps w:val="false"/>
          <w:sz w:val="20"/>
        </w:rPr>
        <w:t xml:space="preserve"> for a discussion of GCL Global’s operating and financial review and prospects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mailing address of the Company’s principal executive office is 29 Tai Seng Avenue #02-01, Natural Cool Lifestyle Hub, Singapore 534119, and its telephone number is +65 80427330. The information contained on, or accessible through, the Company’s website </w:t>
      </w:r>
      <w:r>
        <w:rPr>
          <w:rFonts w:ascii="Times New Roman;Times;Serif" w:hAnsi="Times New Roman;Times;Serif"/>
          <w:b w:val="false"/>
          <w:i/>
          <w:caps w:val="false"/>
          <w:smallCaps w:val="false"/>
          <w:sz w:val="20"/>
        </w:rPr>
        <w:t xml:space="preserve">www.gclglobalholdings.com </w:t>
      </w:r>
      <w:r>
        <w:rPr>
          <w:rFonts w:ascii="Times New Roman;Times;Serif" w:hAnsi="Times New Roman;Times;Serif"/>
          <w:b w:val="false"/>
          <w:i w:val="false"/>
          <w:caps w:val="false"/>
          <w:smallCaps w:val="false"/>
          <w:sz w:val="20"/>
        </w:rPr>
        <w:t>is not incorporated by reference into this Report, and you should not consider it a part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certain of the informational filing requirements of the Exchange Act. Since the Company is a “foreign private issuer”, the officers, directors and principal shareholders of the Company are exempt from the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On December 31, 2024, the Company and RFAC furnished to its shareholders a proxy statement/prospectus relating to the Business Combination. The SEC also maintains a website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that contains reports and other information that the Company files with or furnishes electronically to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integrated games, entertainment and technology products group engaged in the marketing, distribution, publishing and development of video games and other entertainment content across Asia, Europe, the United States and Latin America. Following our acquisition of Ban Leong Technologies Limited in May 2025, we expanded our business into the distribution of IT hardware, computer accessories, gaming components, peripherals, data storage devices, smart technology and other consumer technology products across Singapore, Malaysia and Thailand. We sell and distribute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Partnering with international video game publishers and developers, we have an established track record of selling and marketing top-tier video game franchises such as </w:t>
      </w:r>
      <w:r>
        <w:rPr>
          <w:rFonts w:ascii="Times New Roman;Times;Serif" w:hAnsi="Times New Roman;Times;Serif"/>
          <w:b w:val="false"/>
          <w:i/>
          <w:caps w:val="false"/>
          <w:smallCaps w:val="false"/>
          <w:sz w:val="20"/>
        </w:rPr>
        <w:t xml:space="preserve">Grand Theft Auto, Red Dead Redemption, Sonic the Hedgehog, Cyberpunk 2077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Black Myth: Wukong.</w:t>
      </w:r>
      <w:r>
        <w:rPr>
          <w:rFonts w:ascii="Times New Roman;Times;Serif" w:hAnsi="Times New Roman;Times;Serif"/>
          <w:b w:val="false"/>
          <w:i w:val="false"/>
          <w:caps w:val="false"/>
          <w:smallCaps w:val="false"/>
          <w:sz w:val="20"/>
        </w:rPr>
        <w:t> Approximately 95.8%, 86.8%, and 93.3% of our total consolidated revenue for the fiscal years ended March 31, 2026, 2025, and 2024, respectively, was derived from the sale of either games on consoles such as Sony PlayStation, Microsoft Xbox, Nintendo Switch and personal computer (“</w:t>
      </w:r>
      <w:r>
        <w:rPr>
          <w:rFonts w:ascii="Times New Roman;Times;Serif" w:hAnsi="Times New Roman;Times;Serif"/>
          <w:b/>
          <w:i/>
          <w:caps w:val="false"/>
          <w:smallCaps w:val="false"/>
          <w:sz w:val="20"/>
        </w:rPr>
        <w:t>PC</w:t>
      </w:r>
      <w:r>
        <w:rPr>
          <w:rFonts w:ascii="Times New Roman;Times;Serif" w:hAnsi="Times New Roman;Times;Serif"/>
          <w:b w:val="false"/>
          <w:i w:val="false"/>
          <w:caps w:val="false"/>
          <w:smallCaps w:val="false"/>
          <w:sz w:val="20"/>
        </w:rPr>
        <w:t>”) to retailers, game activation keys (the so-called “game codes”) via electronic delivery to retailers or end-users through email or download and sales of IT hardware and computer accessories to retailers.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 ecosystem of content and hardware in games and entertainment, enabling creators to deliver engaging experiences to gaming communities worldwide with a strategic focus on the rapidly expanding Asian gaming market. In 2022, we formed 4Divinity, dedicated to our game publishing business investing in upcoming game titles as either a publisher or a co-publisher for the global market. Approximately 3.0%, 11.3%, and 3.5% of our total consolidated revenue for the fiscal years ended March 31, 2026, 2025, and 2024, respectively, was derived from game publishing. As of the date of this Report, 4Divinity has either published or co-published more than 15 game titles. In May 2025, we acquired Ban Leong, a leading Singapore-based distributor of IT hardware, gaming components, and smart technology, with operations across Singapore, Malaysia, and Thailand. We also have our own production studio and advertising agency, providing media and content advertising services for small and medium-sized enterprises (the “</w:t>
      </w:r>
      <w:r>
        <w:rPr>
          <w:rFonts w:ascii="Times New Roman;Times;Serif" w:hAnsi="Times New Roman;Times;Serif"/>
          <w:b/>
          <w:i/>
          <w:caps w:val="false"/>
          <w:smallCaps w:val="false"/>
          <w:sz w:val="20"/>
        </w:rPr>
        <w:t>SMEs</w:t>
      </w:r>
      <w:r>
        <w:rPr>
          <w:rFonts w:ascii="Times New Roman;Times;Serif" w:hAnsi="Times New Roman;Times;Serif"/>
          <w:b w:val="false"/>
          <w:i w:val="false"/>
          <w:caps w:val="false"/>
          <w:smallCaps w:val="false"/>
          <w:sz w:val="20"/>
        </w:rPr>
        <w:t>”) and government agencies.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w:t>
      </w:r>
      <w:r>
        <w:rPr>
          <w:rFonts w:ascii="Times New Roman;Times;Serif" w:hAnsi="Times New Roman;Times;Serif"/>
          <w:b/>
          <w:i/>
          <w:caps w:val="false"/>
          <w:smallCaps w:val="false"/>
          <w:sz w:val="20"/>
        </w:rPr>
        <w:t>Sega</w:t>
      </w:r>
      <w:r>
        <w:rPr>
          <w:rFonts w:ascii="Times New Roman;Times;Serif" w:hAnsi="Times New Roman;Times;Serif"/>
          <w:b w:val="false"/>
          <w:i w:val="false"/>
          <w:caps w:val="false"/>
          <w:smallCaps w:val="false"/>
          <w:sz w:val="20"/>
        </w:rPr>
        <w:t>”), Take-Two Interactive Software UK Limited (“</w:t>
      </w:r>
      <w:r>
        <w:rPr>
          <w:rFonts w:ascii="Times New Roman;Times;Serif" w:hAnsi="Times New Roman;Times;Serif"/>
          <w:b/>
          <w:i/>
          <w:caps w:val="false"/>
          <w:smallCaps w:val="false"/>
          <w:sz w:val="20"/>
        </w:rPr>
        <w:t>Take-two</w:t>
      </w:r>
      <w:r>
        <w:rPr>
          <w:rFonts w:ascii="Times New Roman;Times;Serif" w:hAnsi="Times New Roman;Times;Serif"/>
          <w:b w:val="false"/>
          <w:i w:val="false"/>
          <w:caps w:val="false"/>
          <w:smallCaps w:val="false"/>
          <w:sz w:val="20"/>
        </w:rPr>
        <w:t>”), CD Projekt S.A. (“</w:t>
      </w:r>
      <w:r>
        <w:rPr>
          <w:rFonts w:ascii="Times New Roman;Times;Serif" w:hAnsi="Times New Roman;Times;Serif"/>
          <w:b/>
          <w:i/>
          <w:caps w:val="false"/>
          <w:smallCaps w:val="false"/>
          <w:sz w:val="20"/>
        </w:rPr>
        <w:t>CDPR</w:t>
      </w:r>
      <w:r>
        <w:rPr>
          <w:rFonts w:ascii="Times New Roman;Times;Serif" w:hAnsi="Times New Roman;Times;Serif"/>
          <w:b w:val="false"/>
          <w:i w:val="false"/>
          <w:caps w:val="false"/>
          <w:smallCaps w:val="false"/>
          <w:sz w:val="20"/>
        </w:rPr>
        <w:t>”)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17.9 million of physical and digital copies of video games during the past three fiscal years. It has distributed in Asia four of the top ten best-selling video games of all time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three of which it is currently still selling. It is also responsible for bringing to Asia some award-winning all-time favorite video games, such as </w:t>
      </w:r>
      <w:r>
        <w:rPr>
          <w:rFonts w:ascii="Times New Roman;Times;Serif" w:hAnsi="Times New Roman;Times;Serif"/>
          <w:b w:val="false"/>
          <w:i/>
          <w:caps w:val="false"/>
          <w:smallCaps w:val="false"/>
          <w:sz w:val="20"/>
        </w:rPr>
        <w:t xml:space="preserve">Hogwarts Legacy, Grand Theft Auto IV, Grand Theft Auto V, NBA 2K26, Red Dead Redemption II, Cyberpunk 2077, The Witcher 3: Wild Hunt, Elden Ring: Nightreign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Black Myth: Wukong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is a holding company incorporated as an exempted company under the laws of the Cayman Islands. As a holding company with no material operations on its own, we conduct all our operations through our subsidiaries in Singapore, Hong Kong, Malaysia, China, the United Kingdom, Japan, Brazil, Thailand, Taiwan and the United Arab Emirates.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two intermediary holding companies, namely (i) GCL Global Pte. Ltd., a Singaporean company formed in July 2021 (“</w:t>
      </w:r>
      <w:r>
        <w:rPr>
          <w:rFonts w:ascii="Times New Roman;Times;Serif" w:hAnsi="Times New Roman;Times;Serif"/>
          <w:b/>
          <w:i/>
          <w:caps w:val="false"/>
          <w:smallCaps w:val="false"/>
          <w:sz w:val="20"/>
        </w:rPr>
        <w:t>GCL Global SG</w:t>
      </w:r>
      <w:r>
        <w:rPr>
          <w:rFonts w:ascii="Times New Roman;Times;Serif" w:hAnsi="Times New Roman;Times;Serif"/>
          <w:b w:val="false"/>
          <w:i w:val="false"/>
          <w:caps w:val="false"/>
          <w:smallCaps w:val="false"/>
          <w:sz w:val="20"/>
        </w:rPr>
        <w:t>”), and (ii) Grand Centrex Limited, a British Virgin Islands business company formed in November 2018 (“</w:t>
      </w:r>
      <w:r>
        <w:rPr>
          <w:rFonts w:ascii="Times New Roman;Times;Serif" w:hAnsi="Times New Roman;Times;Serif"/>
          <w:b/>
          <w:i/>
          <w:caps w:val="false"/>
          <w:smallCaps w:val="false"/>
          <w:sz w:val="20"/>
        </w:rPr>
        <w:t>GCL BVI</w:t>
      </w:r>
      <w:r>
        <w:rPr>
          <w:rFonts w:ascii="Times New Roman;Times;Serif" w:hAnsi="Times New Roman;Times;Serif"/>
          <w:b w:val="false"/>
          <w:i w:val="false"/>
          <w:caps w:val="false"/>
          <w:smallCaps w:val="false"/>
          <w:sz w:val="20"/>
        </w:rPr>
        <w:t>”), GCL Global holds the following operating subsidiaries: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Epicsoft Asia Pte. Ltd. (“</w:t>
            </w:r>
            <w:r>
              <w:rPr>
                <w:rFonts w:ascii="Times New Roman;Times;Serif" w:hAnsi="Times New Roman;Times;Serif"/>
                <w:b/>
                <w:i/>
                <w:caps w:val="false"/>
                <w:smallCaps w:val="false"/>
                <w:sz w:val="20"/>
              </w:rPr>
              <w:t>Epic Asia</w:t>
            </w:r>
            <w:r>
              <w:rPr>
                <w:rFonts w:ascii="Times New Roman;Times;Serif" w:hAnsi="Times New Roman;Times;Serif"/>
                <w:b w:val="false"/>
                <w:i/>
                <w:caps w:val="false"/>
                <w:smallCaps w:val="false"/>
                <w:sz w:val="20"/>
              </w:rPr>
              <w:t>” or “</w:t>
            </w:r>
            <w:r>
              <w:rPr>
                <w:rFonts w:ascii="Times New Roman;Times;Serif" w:hAnsi="Times New Roman;Times;Serif"/>
                <w:b/>
                <w:i/>
                <w:caps w:val="false"/>
                <w:smallCaps w:val="false"/>
                <w:sz w:val="20"/>
              </w:rPr>
              <w:t>Epicsoft Asia</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formed in September 2014 in Singapore primarily for marketing and retail distribution of video games software, game codes, and other related consumer items in Singapore. Ban Leong Technologies Pte. Ltd. (“</w:t>
            </w:r>
            <w:r>
              <w:rPr>
                <w:rFonts w:ascii="Times New Roman;Times;Serif" w:hAnsi="Times New Roman;Times;Serif"/>
                <w:b/>
                <w:i/>
                <w:caps w:val="false"/>
                <w:smallCaps w:val="false"/>
                <w:sz w:val="20"/>
              </w:rPr>
              <w:t>Ban Leong</w:t>
            </w:r>
            <w:r>
              <w:rPr>
                <w:rFonts w:ascii="Times New Roman;Times;Serif" w:hAnsi="Times New Roman;Times;Serif"/>
                <w:b w:val="false"/>
                <w:i w:val="false"/>
                <w:caps w:val="false"/>
                <w:smallCaps w:val="false"/>
                <w:sz w:val="20"/>
              </w:rPr>
              <w:t xml:space="preserve">”), formed in June 1993 in Singapore, was acquired by Epicsoft Asia in May 2025. Ban Leong is a leading Singapore-based distributor of IT hardware, gaming components, and smart technology. It has operations and subsidiaries in Singapore, Malaysia, and Thailand. Digital Hub Pte. Ltd. (formed in March 2003 in Singapore), Ban Leong Technologies Sdn Bhd (formed in August 2003 in Malaysia) and AV Labs International Pte. Ltd. (formed in June 2006 in Singapore) are all wholly-owned subsidiaries of Ban Leong. As of the date of this Report, Ban Leong holds approximately 60% of the equity interests of Ban Leong Chin Inter Co., Ltd. (formed in July 2004 in Thailand).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Epicsoft (Hong Kong) Limited (“</w:t>
            </w:r>
            <w:r>
              <w:rPr>
                <w:rFonts w:ascii="Times New Roman;Times;Serif" w:hAnsi="Times New Roman;Times;Serif"/>
                <w:b/>
                <w:i/>
                <w:caps w:val="false"/>
                <w:smallCaps w:val="false"/>
                <w:sz w:val="20"/>
              </w:rPr>
              <w:t>Epic HK</w:t>
            </w:r>
            <w:r>
              <w:rPr>
                <w:rFonts w:ascii="Times New Roman;Times;Serif" w:hAnsi="Times New Roman;Times;Serif"/>
                <w:b w:val="false"/>
                <w:i/>
                <w:caps w:val="false"/>
                <w:smallCaps w:val="false"/>
                <w:sz w:val="20"/>
              </w:rPr>
              <w:t>” or “</w:t>
            </w:r>
            <w:r>
              <w:rPr>
                <w:rFonts w:ascii="Times New Roman;Times;Serif" w:hAnsi="Times New Roman;Times;Serif"/>
                <w:b/>
                <w:i/>
                <w:caps w:val="false"/>
                <w:smallCaps w:val="false"/>
                <w:sz w:val="20"/>
              </w:rPr>
              <w:t>Epicsoft Hong Kong</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formed in April 2005 in Hong Kong primarily for marketing and retail distribution of video games software, game codes, and other related consumer items in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Epicsoft Malaysia Sdn. Bhd. (“</w:t>
            </w:r>
            <w:r>
              <w:rPr>
                <w:rFonts w:ascii="Times New Roman;Times;Serif" w:hAnsi="Times New Roman;Times;Serif"/>
                <w:b/>
                <w:i/>
                <w:caps w:val="false"/>
                <w:smallCaps w:val="false"/>
                <w:sz w:val="20"/>
              </w:rPr>
              <w:t>Epic MY</w:t>
            </w:r>
            <w:r>
              <w:rPr>
                <w:rFonts w:ascii="Times New Roman;Times;Serif" w:hAnsi="Times New Roman;Times;Serif"/>
                <w:b w:val="false"/>
                <w:i/>
                <w:caps w:val="false"/>
                <w:smallCaps w:val="false"/>
                <w:sz w:val="20"/>
              </w:rPr>
              <w:t>” or “</w:t>
            </w:r>
            <w:r>
              <w:rPr>
                <w:rFonts w:ascii="Times New Roman;Times;Serif" w:hAnsi="Times New Roman;Times;Serif"/>
                <w:b/>
                <w:i/>
                <w:caps w:val="false"/>
                <w:smallCaps w:val="false"/>
                <w:sz w:val="20"/>
              </w:rPr>
              <w:t>Epicsoft Malaysia</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formed in June 2019 in Malaysia primarily for marketing and retail distribution of video games and related products in Malaysia.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Titan Digital Media Pte. Ltd.</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TDM</w:t>
            </w:r>
            <w:r>
              <w:rPr>
                <w:rFonts w:ascii="Times New Roman;Times;Serif" w:hAnsi="Times New Roman;Times;Serif"/>
                <w:b w:val="false"/>
                <w:i w:val="false"/>
                <w:caps w:val="false"/>
                <w:smallCaps w:val="false"/>
                <w:sz w:val="20"/>
              </w:rPr>
              <w:t>”) - formed in January 2018 in Singapore specialized in creating customized and strategic marketing campaigns specific to a brand’s needs. With its in-house strategists, producers, designers, video production and marketing team, TDM is a full-service agency that connects a brand with its target audience to achieve campaign key performance indicators (“KPIs”) and marketing goals. It has a production studio, an advertising agency, and a multi-channel network of talent. As of the date of this Report, GCL Global holds 85% of the equity interests of TDM, with remaining 15% held by the former owner of Starry Jewelry Pte. Ltd. (“</w:t>
            </w:r>
            <w:r>
              <w:rPr>
                <w:rFonts w:ascii="Times New Roman;Times;Serif" w:hAnsi="Times New Roman;Times;Serif"/>
                <w:b/>
                <w:i/>
                <w:caps w:val="false"/>
                <w:smallCaps w:val="false"/>
                <w:sz w:val="20"/>
              </w:rPr>
              <w:t>Starry Jewelry</w:t>
            </w:r>
            <w:r>
              <w:rPr>
                <w:rFonts w:ascii="Times New Roman;Times;Serif" w:hAnsi="Times New Roman;Times;Serif"/>
                <w:b w:val="false"/>
                <w:i w:val="false"/>
                <w:caps w:val="false"/>
                <w:smallCaps w:val="false"/>
                <w:sz w:val="20"/>
              </w:rPr>
              <w:t xml:space="preserve">”), who is also the spouse of Mr. Jianhao Tan. Starry Jewelry, formed in June 2020 in Singapore, is an online jewelry retailer and a wholly-owned subsidiary of TDM.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Martiangear Pte. Ltd. (“</w:t>
            </w:r>
            <w:r>
              <w:rPr>
                <w:rFonts w:ascii="Times New Roman;Times;Serif" w:hAnsi="Times New Roman;Times;Serif"/>
                <w:b/>
                <w:i/>
                <w:caps w:val="false"/>
                <w:smallCaps w:val="false"/>
                <w:sz w:val="20"/>
              </w:rPr>
              <w:t>Martiangear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 formed in September 2020 in Singapore specialized in the sale of gaming chairs and related merchandise. TDM acquired all equity interests of Martiangear from two seller parties unaffiliated with the GCL Group for a combination of cash and stock consideration. In December 2024, GCL Global SG acquired 100% equity interests of Martiangear from TDM.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4Divinity Pte. Ltd. (“</w:t>
            </w:r>
            <w:r>
              <w:rPr>
                <w:rFonts w:ascii="Times New Roman;Times;Serif" w:hAnsi="Times New Roman;Times;Serif"/>
                <w:b/>
                <w:i/>
                <w:caps w:val="false"/>
                <w:smallCaps w:val="false"/>
                <w:sz w:val="20"/>
              </w:rPr>
              <w:t>4Divinity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 formed in September 2022 in Singapore to develop game IP, invest in upcoming game titles, to publish, or co-publish with international game publishers and content development studios, to introduce new video games and entertainment properties to Asia’s fast-growing market of gamers, and to introduce original Asian-developed video games and entertainment content to the global market. In December 2024 and April 2025, each of 4Divinity UK Ltd. (“</w:t>
            </w:r>
            <w:r>
              <w:rPr>
                <w:rFonts w:ascii="Times New Roman;Times;Serif" w:hAnsi="Times New Roman;Times;Serif"/>
                <w:b/>
                <w:i/>
                <w:caps w:val="false"/>
                <w:smallCaps w:val="false"/>
                <w:sz w:val="20"/>
              </w:rPr>
              <w:t>4Divinity UK</w:t>
            </w:r>
            <w:r>
              <w:rPr>
                <w:rFonts w:ascii="Times New Roman;Times;Serif" w:hAnsi="Times New Roman;Times;Serif"/>
                <w:b w:val="false"/>
                <w:i w:val="false"/>
                <w:caps w:val="false"/>
                <w:smallCaps w:val="false"/>
                <w:sz w:val="20"/>
              </w:rPr>
              <w:t>”) and 4Divinity Japan (“</w:t>
            </w:r>
            <w:r>
              <w:rPr>
                <w:rFonts w:ascii="Times New Roman;Times;Serif" w:hAnsi="Times New Roman;Times;Serif"/>
                <w:b/>
                <w:i/>
                <w:caps w:val="false"/>
                <w:smallCaps w:val="false"/>
                <w:sz w:val="20"/>
              </w:rPr>
              <w:t>4Divinity JP</w:t>
            </w:r>
            <w:r>
              <w:rPr>
                <w:rFonts w:ascii="Times New Roman;Times;Serif" w:hAnsi="Times New Roman;Times;Serif"/>
                <w:b w:val="false"/>
                <w:i w:val="false"/>
                <w:caps w:val="false"/>
                <w:smallCaps w:val="false"/>
                <w:sz w:val="20"/>
              </w:rPr>
              <w:t xml:space="preserve">”) was formed as a wholly-owned subsidiary of 4Divinity to support GCL Group’s game publishing and development business in Europe and Japan, respectively. As of the date of this Report, 4Divinity HK Ltd.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4Divinity Hong Kong</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formed in Hong Kong in March 2026, holds approximately 89.8% of the outstanding shares of 4Divinity. In April and June 2026, Shenfang Universe (Shanghai) Technology Co., Ltd. (“</w:t>
            </w:r>
            <w:r>
              <w:rPr>
                <w:rFonts w:ascii="Times New Roman;Times;Serif" w:hAnsi="Times New Roman;Times;Serif"/>
                <w:b/>
                <w:i/>
                <w:caps w:val="false"/>
                <w:smallCaps w:val="false"/>
                <w:sz w:val="20"/>
              </w:rPr>
              <w:t>Shenfang Shanghai</w:t>
            </w:r>
            <w:r>
              <w:rPr>
                <w:rFonts w:ascii="Times New Roman;Times;Serif" w:hAnsi="Times New Roman;Times;Serif"/>
                <w:b w:val="false"/>
                <w:i w:val="false"/>
                <w:caps w:val="false"/>
                <w:smallCaps w:val="false"/>
                <w:sz w:val="20"/>
              </w:rPr>
              <w:t>”) and Shenfang Interactive (Hangzhou) Technology Co., Ltd. (“</w:t>
            </w:r>
            <w:r>
              <w:rPr>
                <w:rFonts w:ascii="Times New Roman;Times;Serif" w:hAnsi="Times New Roman;Times;Serif"/>
                <w:b/>
                <w:i/>
                <w:caps w:val="false"/>
                <w:smallCaps w:val="false"/>
                <w:sz w:val="20"/>
              </w:rPr>
              <w:t>Shenfang Hangzhou</w:t>
            </w:r>
            <w:r>
              <w:rPr>
                <w:rFonts w:ascii="Times New Roman;Times;Serif" w:hAnsi="Times New Roman;Times;Serif"/>
                <w:b w:val="false"/>
                <w:i w:val="false"/>
                <w:caps w:val="false"/>
                <w:smallCaps w:val="false"/>
                <w:sz w:val="20"/>
              </w:rPr>
              <w:t>”) were formed as wholly-owned subsidiaries of 4Divinity to serve as the Company’s legal presence in China and to facilitate anticipated business activities and future commercial operations in the region.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7930" w:type="dxa"/>
        <w:jc w:val="left"/>
        <w:tblInd w:w="0" w:type="dxa"/>
        <w:tblLayout w:type="fixed"/>
        <w:tblCellMar>
          <w:top w:w="0" w:type="dxa"/>
          <w:left w:w="0" w:type="dxa"/>
          <w:bottom w:w="0" w:type="dxa"/>
          <w:right w:w="0" w:type="dxa"/>
        </w:tblCellMar>
      </w:tblPr>
      <w:tblGrid>
        <w:gridCol w:w="155"/>
        <w:gridCol w:w="7775"/>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https://www.gamespot.com/gallery/top-10-best-selling-video-games-of-all-time/2900-4814/#1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2Game Digital Limited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2Game</w:t>
            </w:r>
            <w:r>
              <w:rPr>
                <w:rFonts w:ascii="Times New Roman;Times;Serif" w:hAnsi="Times New Roman;Times;Serif"/>
                <w:b w:val="false"/>
                <w:i w:val="false"/>
                <w:caps w:val="false"/>
                <w:smallCaps w:val="false"/>
                <w:sz w:val="20"/>
              </w:rPr>
              <w:t>”) - formed in May 2022 in Hong Kong primarily for distribution of activation keys and related products. 2Game is GCL Group’s authorized digital sales platform. It operates as a business-to-business (“B2B”) and business-to-consumer (“B2C”) digital video game retailer. It sells and distributes game activation keys, the so-called “activation keys” or “game codes” to both resellers and consumers as part of GCL Group’s concerted effort to transition from physical console game compact discs to activation keys and content.</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2Game Pro Ltda (“</w:t>
            </w:r>
            <w:r>
              <w:rPr>
                <w:rFonts w:ascii="Times New Roman;Times;Serif" w:hAnsi="Times New Roman;Times;Serif"/>
                <w:b/>
                <w:i/>
                <w:caps w:val="false"/>
                <w:smallCaps w:val="false"/>
                <w:sz w:val="20"/>
              </w:rPr>
              <w:t>2Game Brazil</w:t>
            </w:r>
            <w:r>
              <w:rPr>
                <w:rFonts w:ascii="Times New Roman;Times;Serif" w:hAnsi="Times New Roman;Times;Serif"/>
                <w:b w:val="false"/>
                <w:i w:val="false"/>
                <w:caps w:val="false"/>
                <w:smallCaps w:val="false"/>
                <w:sz w:val="20"/>
              </w:rPr>
              <w:t>”) was formed in Brazil as a wholly-owned subsidiary of 2Game to expand its business into Latin America. In October 2024, 2Game Digital DMCC (“</w:t>
            </w:r>
            <w:r>
              <w:rPr>
                <w:rFonts w:ascii="Times New Roman;Times;Serif" w:hAnsi="Times New Roman;Times;Serif"/>
                <w:b/>
                <w:i/>
                <w:caps w:val="false"/>
                <w:smallCaps w:val="false"/>
                <w:sz w:val="20"/>
              </w:rPr>
              <w:t>2Game Dubai</w:t>
            </w:r>
            <w:r>
              <w:rPr>
                <w:rFonts w:ascii="Times New Roman;Times;Serif" w:hAnsi="Times New Roman;Times;Serif"/>
                <w:b w:val="false"/>
                <w:i w:val="false"/>
                <w:caps w:val="false"/>
                <w:smallCaps w:val="false"/>
                <w:sz w:val="20"/>
              </w:rPr>
              <w:t>”) was formed in Dubai as a wholly-owned subsidiary of 2Game to expand its business into the UAE and MENA region. As of the date of this Report, 4Divinity Hong Kong holds approximately 61% of the outstanding shares of 2Game.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Hainan GCL Technology Co. Ltd. (“</w:t>
            </w:r>
            <w:r>
              <w:rPr>
                <w:rFonts w:ascii="Times New Roman;Times;Serif" w:hAnsi="Times New Roman;Times;Serif"/>
                <w:b/>
                <w:i/>
                <w:caps w:val="false"/>
                <w:smallCaps w:val="false"/>
                <w:sz w:val="20"/>
              </w:rPr>
              <w:t>Hainan GCL</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formed in July 2024 in China to support GCL Group’s collaboration efforts with game developers and a potential game platform in China.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GCL Taiwan Co., Ltd. (“</w:t>
            </w:r>
            <w:r>
              <w:rPr>
                <w:rFonts w:ascii="Times New Roman;Times;Serif" w:hAnsi="Times New Roman;Times;Serif"/>
                <w:b/>
                <w:i/>
                <w:caps w:val="false"/>
                <w:smallCaps w:val="false"/>
                <w:sz w:val="20"/>
              </w:rPr>
              <w:t>GCL Taiwan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 formed in November 2025 in Taiwan to support GCL Group’s collaboration efforts with game developers in Taiwan.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Based on Newzoo’s Global Games Market Report 2025 (September 2025), the global games market is projected to generate $188.8 billion in revenue in 2025. While mobile games have grown to now account for approximately 55% of the global games market revenue, PC and console gaming continue to be key growth drivers, with console expected to be the fastest-growing platform in 2025. It is also projected that the global games market will grow to US$206.5 billion by 2028.</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2222"/>
          <w:sz w:val="20"/>
        </w:rPr>
        <w:t xml:space="preserve">The number of players worldwide is projected at 3.58 billion in 2025, an annual growth rate of over 4.4%. Based on Newzoo’s Global Games Market Report 2025, the Asia-Pacific region remains the world’s largest gaming market, generating US$87.6 billion in revenue (approximately 46% of the global market). </w:t>
      </w:r>
      <w:r>
        <w:rPr>
          <w:rFonts w:ascii="Times New Roman;Times;Serif" w:hAnsi="Times New Roman;Times;Serif"/>
          <w:b w:val="false"/>
          <w:i w:val="false"/>
          <w:caps w:val="false"/>
          <w:smallCaps w:val="false"/>
          <w:sz w:val="20"/>
        </w:rPr>
        <w:t>In 2025, revenues from just two markets, China and the U.S. were $49.8B and $49.6B, respectively, accounting for half of all consumer games spending.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game sales and distribution was one of the handful of businesses positively affected by the COVID-19 pandemic, driven by the demand for more home entertainment. Game-related engagement is sticky, and we believe many players who entered the market during the early lockdown years of the pandemic will continue to be engaged with video games in one form or another. Historically, the video game industry has proved to be relatively resilient during periods of economic downturn since gaming offers a cheaper home entertainment alternative to the large ticket discretionary spending items.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game piracy is when an individual, group, or business copies and/or distributes video game software without the authorization of the intellectual property owner of the video game. By making unauthorized copies of the games or allowing players to download games for free or at a reduced price, scammers are taking profit from game developers, publishers and studios. Game piracy is a global issue in the gaming industry. Based on a survey published by QATestLab on November 16, 2022, around 1 in 10 gamers have illegally downloaded or played a pirated video game over the past three months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Today, this presents a challenge to all game studios which are losing sizeable revenue to unauthorized listings of their games online. Through our distribution network and long-standing relationships with our customers, we believe we can offer a unique value proposition to the international game studios in combating the issue of game piracy through take-down and conversion of unauthorized sales listings. We believe that there is a large market demand for this service and we plan to leverage our network and technology to help game studios and publishers recoup some of the revenues lost to piracy.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overall entertainment industry is converging towards transmedia, a trend in which game companies bring their game IP to film, television, and other media to expand the reach of their franchise and bring consumers back to their core game franchise. By growing our business into game publishing, game creation and game IP investment, we believe we are well-positioned to move up the value chain in the game creation process to build our game IP and potentially monetize game IP through transmedia.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Ban Leong Technologies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Epicsoft Asia made a voluntary conditional cash offer (the “Offer”) of S$0.6029 per share (approximately US$0.4580 per share) to acquire all of the issued and paid-up ordinary shares in the capital of Ban Leong Technologies Limited (“Ban Leong”), a Singaporean company listed on the Singapore Exchange Securities Trading Limited (“SGX-ST”). The Offer became unconditional on May 27, 2025. Ban Leong became a wholly-owned subsidiary of Epicsoft Asia Pte. Ltd. and effective August 26, 2025, Ban Leong was officially delisted from the SGX-ST and on August 28, 2025, changed its name to Ban Leong Technologies Pte. Ltd. Cash consideration of the Offer was financed through a combination of an approximately $38.7 million secured term loan facility provided by The Hongkong and Shanghai Banking Corporation Limited, Singapore Branch (the “HSBC term loan facility”) and approximately $10.0 million cash on hand from the Company. The HSBC term loan facility is secured by all assets of GCL Global Pte Ltd, has a five-year term, bears a floating interest rate ranging between 2.5% and 7.5%, and requires quarterly repayments, with the final installment due in May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over 30 years, Ban Leong has distributed a wide range of technology products across Asia that include IT accessories, gaming components, smart (IOT) technology, and commercial products. Ban Leong is an authorized distributor for over 50 well-known brands, including Razer, Nvidia, Samsung, Huawei, TP-Link, and LG. Ban Leong’s multi-channel distribution strategy encompasses e-commerce platforms, brick-and-mortar retailers, chain stores, and direct sales to corporate resellers and system integrators, and operating service centres in Singapore, Malaysia, and Thailand that provide technical support and repair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ATW SPA, Registration Rights Agreement, Exchange Agreement, and April 2026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2025, the Company entered into a securities purchase agreement (the “ATW SPA”) with ATW Partners (the “Investor”) for the issuance of senior unsecured convertible notes (the “Notes”), through a facility of up to $45.5 million. Pursuant to the ATW SPA, the Company has issued and sold to the Investor an initial note in the aggregate original principal amount of $2,900,000, at a purchase price of $2,610,000 on May 22, 2025. Pursuant to the ATW SPA, as amended on August 26, 2025, the Company has issued and sold to the Investor additional Notes in the aggregate original principal amount of $2,530,000, at a purchase price of $2,277,000. The Notes had a three-year term and bore interest at 6% per annum, payable monthly, at GCL’s option, in cash or, provided that certain conditions were met, in ordinary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redeemed, in part, the then-outstanding Notes for approximately $3.18 million pursuant to the terms of the Notes. The Parties also entered into that certain Amendment, Waiver and Exchange Agreement (the “Exchange Agreement”), pursuant to which, the remaining balance of the Notes was exchanged for a warrant to purchase 1,125,000 ordinary shares at an initial exercise price of $8.00 per share, subject to full-ratchet anti-dilution adjustments and other price protections in the event of, among other things, a reverse stock split or share combination (the “April 2026 Warrant”) in reliance on the exemption from registration provided by Section 3(a)(9) of the Securities Act. The Parties have also agreed to, among other things, waive any right to consummate any additional closing or cause the Company to issue additional notes, pursuant to the terms of the SPA.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4Divinity SG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4Divinity SG entered into share subscription agreements with ADATA Technology Co., Ltd., a Taiwanese company that is also a leader in memory and storage solutions, between October 2025 and July 2026, pursuant to which ADATA has purchased newly issued ordinary shares of 4Divinity SG, representing an aggregate of approximately 10.2% of outstanding equity interests of 4Divinity SG, for $32,000,000.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2Game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Sale and Purchase Agreement dated March 19, 2025 (the “2Game SPA”) by and among GCL Global SG and the 2Game Sellers, GCL Global SG purchased from the 2Game Sellers 1,000 shares of 2Game (the “Sale Shares”) for $1,200,000, resulting in GCL Global SG currently holding 61% equity interests of 2Game. The 2Game SPA contains certain financial performance targets for 2Game over the next three years starting and including fiscal year 2026. Pursuant to the terms of the 2Game SPA, the 2Game Sellers were required to buy back the Sale Shares from GCL Global SG for $1,272,000 because 2Game has failed to generate at least $70,000,000 of revenue and net profit after tax of at least $2,500,000 during fiscal year 2026. As of the date of this Report, 2Game Sellers have not bought back the Sale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Nekcom Series B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Share Purchase Agreement between GCL Global and an accredited investor, dated March 10, 2026, GCL Global sold 306,250 of the 12,250,000 shares of Nekcom Series B Preferred Stock (“Nekcom Series B Shares”) it held to the buyer for $1,000,000. Buyer will have the right, but not the obligation, to sell back to GCL Global any or all of these 306,250 Nekcom Series B Preferred Shares at two times the original purchase price per share during the first six months following the official release of the game </w:t>
      </w:r>
      <w:r>
        <w:rPr>
          <w:rFonts w:ascii="Times New Roman;Times;Serif" w:hAnsi="Times New Roman;Times;Serif"/>
          <w:b w:val="false"/>
          <w:i/>
          <w:caps w:val="false"/>
          <w:smallCaps w:val="false"/>
          <w:sz w:val="20"/>
        </w:rPr>
        <w:t xml:space="preserve">Showa American Story. </w:t>
      </w:r>
      <w:r>
        <w:rPr>
          <w:rFonts w:ascii="Times New Roman;Times;Serif" w:hAnsi="Times New Roman;Times;Serif"/>
          <w:b w:val="false"/>
          <w:i w:val="false"/>
          <w:caps w:val="false"/>
          <w:smallCaps w:val="false"/>
          <w:sz w:val="20"/>
        </w:rPr>
        <w:t xml:space="preserve">In the event that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is not officially launched on or before June 30, 2028, buyer will have the right to demand GCL Global to buy back these 306,250 Nekcom Series B Preferred Shares at a price equal to the original purchase price plus 10% per annum.</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GCL Group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current corporate structure of GCL: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00875" cy="769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00875" cy="769620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entities abbreviated in chart: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30"/>
        <w:gridCol w:w="90"/>
        <w:gridCol w:w="1904"/>
        <w:gridCol w:w="90"/>
        <w:gridCol w:w="1701"/>
        <w:gridCol w:w="90"/>
        <w:gridCol w:w="4500"/>
      </w:tblGrid>
      <w:tr>
        <w:trPr/>
        <w:tc>
          <w:tcPr>
            <w:tcW w:w="18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0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0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5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r>
      <w:tr>
        <w:trPr/>
        <w:tc>
          <w:tcPr>
            <w:tcW w:w="1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Limited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 Limited</w:t>
            </w:r>
          </w:p>
        </w:tc>
      </w:tr>
      <w:tr>
        <w:trPr/>
        <w:tc>
          <w:tcPr>
            <w:tcW w:w="18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Brazil</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Game Pro Ltda.</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 Sdn. Bhd.</w:t>
            </w:r>
          </w:p>
        </w:tc>
      </w:tr>
      <w:tr>
        <w:trPr/>
        <w:tc>
          <w:tcPr>
            <w:tcW w:w="1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Dubai</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DMCC</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SG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Pte. Ltd.</w:t>
            </w:r>
          </w:p>
        </w:tc>
      </w:tr>
      <w:tr>
        <w:trPr/>
        <w:tc>
          <w:tcPr>
            <w:tcW w:w="18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Pte. Ltd.</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 Co., Ltd.</w:t>
            </w:r>
          </w:p>
        </w:tc>
      </w:tr>
      <w:tr>
        <w:trPr/>
        <w:tc>
          <w:tcPr>
            <w:tcW w:w="1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Hong Kong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HK Ltd.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 Technology Co. Ltd.</w:t>
            </w:r>
          </w:p>
        </w:tc>
      </w:tr>
      <w:tr>
        <w:trPr/>
        <w:tc>
          <w:tcPr>
            <w:tcW w:w="18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 Ltd.</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 Pte. Ltd.</w:t>
            </w:r>
          </w:p>
        </w:tc>
      </w:tr>
      <w:tr>
        <w:trPr/>
        <w:tc>
          <w:tcPr>
            <w:tcW w:w="1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JP</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Japan Ltd.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 Pte. Ltd.</w:t>
            </w:r>
          </w:p>
        </w:tc>
      </w:tr>
      <w:tr>
        <w:trPr/>
        <w:tc>
          <w:tcPr>
            <w:tcW w:w="18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 Pte. Ltd.</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Shanghai</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Universe (Shanghai) Technology Co., Ltd.</w:t>
            </w:r>
          </w:p>
        </w:tc>
      </w:tr>
      <w:tr>
        <w:trPr/>
        <w:tc>
          <w:tcPr>
            <w:tcW w:w="1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 Pte. Ltd.</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Hangzhou</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Interactive (Hangzhou) Technology Co., Ltd.</w:t>
            </w:r>
          </w:p>
        </w:tc>
      </w:tr>
      <w:tr>
        <w:trPr/>
        <w:tc>
          <w:tcPr>
            <w:tcW w:w="18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 Pte. Ltd.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subsidiaries, GCL Group currently operates in the following three key business segments:</w:t>
      </w:r>
    </w:p>
    <w:p>
      <w:pPr>
        <w:pStyle w:val="TextBody"/>
        <w:bidi w:val="0"/>
        <w:spacing w:before="0" w:after="0"/>
        <w:ind w:left="0" w:right="0" w:firstLine="36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sale of PC and console games and IT hardware and computer accessories;</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05"/>
        <w:gridCol w:w="200"/>
        <w:gridCol w:w="15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 publishing;</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marketing campaign and social media advertising services.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and IT Hardware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Epicsoft Asia is a leading channel distributor for PC and console games in Asia. It is responsible for bringing to Asia some award-winning all-time favorite video games, including </w:t>
      </w:r>
      <w:r>
        <w:rPr>
          <w:rFonts w:ascii="Times New Roman;Times;Serif" w:hAnsi="Times New Roman;Times;Serif"/>
          <w:b w:val="false"/>
          <w:i/>
          <w:caps w:val="false"/>
          <w:smallCaps w:val="false"/>
          <w:sz w:val="20"/>
        </w:rPr>
        <w:t xml:space="preserve">Hogwarts Legacy, Grand Theft Auto V, Red Dead Redemption II, Cyberpunk 2077, The Witcher 3: Wild Hunt, Elden Ring: Nightreign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Black Myth: Wukong.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5349240" cy="2917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49240" cy="2917190"/>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distributed in Asia four of the top ten best-selling video games of all time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three of which are currently still selling: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67200" cy="1228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67200" cy="1228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Chairman, Mr. Jacky Choo See Wee is an industry veteran with over 20 years of experience in the video game industry. Mr. Choo has led Epicsoft Asia in the video games distribution and retail network management business in Asia for the past ten years, and has forged multi-year deals with international video game publishers and studios such as Sega Corporation (“</w:t>
      </w:r>
      <w:r>
        <w:rPr>
          <w:rFonts w:ascii="Times New Roman;Times;Serif" w:hAnsi="Times New Roman;Times;Serif"/>
          <w:b/>
          <w:i/>
          <w:caps w:val="false"/>
          <w:smallCaps w:val="false"/>
          <w:sz w:val="20"/>
        </w:rPr>
        <w:t>Sega</w:t>
      </w:r>
      <w:r>
        <w:rPr>
          <w:rFonts w:ascii="Times New Roman;Times;Serif" w:hAnsi="Times New Roman;Times;Serif"/>
          <w:b w:val="false"/>
          <w:i w:val="false"/>
          <w:caps w:val="false"/>
          <w:smallCaps w:val="false"/>
          <w:sz w:val="20"/>
        </w:rPr>
        <w:t>”), Take-Two Interactive Software UK Limited (“</w:t>
      </w:r>
      <w:r>
        <w:rPr>
          <w:rFonts w:ascii="Times New Roman;Times;Serif" w:hAnsi="Times New Roman;Times;Serif"/>
          <w:b/>
          <w:i/>
          <w:caps w:val="false"/>
          <w:smallCaps w:val="false"/>
          <w:sz w:val="20"/>
        </w:rPr>
        <w:t>Take-two</w:t>
      </w:r>
      <w:r>
        <w:rPr>
          <w:rFonts w:ascii="Times New Roman;Times;Serif" w:hAnsi="Times New Roman;Times;Serif"/>
          <w:b w:val="false"/>
          <w:i w:val="false"/>
          <w:caps w:val="false"/>
          <w:smallCaps w:val="false"/>
          <w:sz w:val="20"/>
        </w:rPr>
        <w:t>”), CD Projekt S.A. (“</w:t>
      </w:r>
      <w:r>
        <w:rPr>
          <w:rFonts w:ascii="Times New Roman;Times;Serif" w:hAnsi="Times New Roman;Times;Serif"/>
          <w:b/>
          <w:i/>
          <w:caps w:val="false"/>
          <w:smallCaps w:val="false"/>
          <w:sz w:val="20"/>
        </w:rPr>
        <w:t>CDPR</w:t>
      </w:r>
      <w:r>
        <w:rPr>
          <w:rFonts w:ascii="Times New Roman;Times;Serif" w:hAnsi="Times New Roman;Times;Serif"/>
          <w:b w:val="false"/>
          <w:i w:val="false"/>
          <w:caps w:val="false"/>
          <w:smallCaps w:val="false"/>
          <w:sz w:val="20"/>
        </w:rPr>
        <w:t>”)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17.9 million of physical and digital copies of video games during the past three fiscal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started distributing Sega© game titles and products in 2018. Pursuant to a Distribution License Agreement dated February 1, 2018 which was amended on April 1, 2020 (as amended, the “Sega Distribution Agreement”), EpicSoft Asia was given a non-exclusive, non-sublicensable, limited license to distribute certain Sega© game titles and products (the “Sega Licensed Products”) in Southeast Asian countries, Hong Kong and Macau. Pursuant to the Sega Distribution Agreement, Epicsoft Asia has agreed to conduct marketing, advertisement and promotion activities, and provide end user customer and technical support, for the Sega Licensed Products within the defined distribution territory. In return, Epicsoft Asia may purchase the Sega Licensed Products based on an agreed discount to the suggested retail price determined by Sega, and is entitled to make a claim to Sega for reasonable marketing costs actually incurred. The Sega Distribution Agreement has an initial term of one year and automatically renews annually for one year periods unless earlier terminated by either party upon 45 days’ written notice to the other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2018, Epicsoft Asia and Sega entered into an Activation Key Distribution Agreement (the “Sega Activation Key Agreement”) pursuant to which Epicsoft Asia was given non-exclusive right to sell and distribute activation keys of certain Sega© games via the Steam download platform in Singapore, Malaysia, the Philippines, Indonesia, Thailand, the Peoples’ Republic of China, Hong Kong and Macau. Pursuant to the Sega Activation Key Agreement, Epicsoft Asia has agreed to conduct marketing, advertisement and promotion activities, and provide end user customer and technical support, for the activation keys at its own costs within the defined distribution territory. In return, Epicsoft Asia may purchase the activation keys at an agreed discount to either the wholesale price (for sales to retailers) or the suggested retail price (for sales directly to end users) of the Sega© games determined by Sega. The Sega Distribution Agreement has an initial term of one year and automatically renews annually for one year periods unless earlier terminated by either party upon 30 days’ written notice to the other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Today, because of our distributor relationship with Sega, we continue to distribute popular Sega© game titles, including games under the </w:t>
      </w:r>
      <w:r>
        <w:rPr>
          <w:rFonts w:ascii="Times New Roman;Times;Serif" w:hAnsi="Times New Roman;Times;Serif"/>
          <w:b w:val="false"/>
          <w:i/>
          <w:caps w:val="false"/>
          <w:smallCaps w:val="false"/>
          <w:sz w:val="20"/>
        </w:rPr>
        <w:t>Sonic</w:t>
      </w:r>
      <w:r>
        <w:rPr>
          <w:rFonts w:ascii="Times New Roman;Times;Serif" w:hAnsi="Times New Roman;Times;Serif"/>
          <w:b w:val="false"/>
          <w:i w:val="false"/>
          <w:caps w:val="false"/>
          <w:smallCaps w:val="false"/>
          <w:sz w:val="20"/>
        </w:rPr>
        <w:t xml:space="preserve"> franchise, the </w:t>
      </w:r>
      <w:r>
        <w:rPr>
          <w:rFonts w:ascii="Times New Roman;Times;Serif" w:hAnsi="Times New Roman;Times;Serif"/>
          <w:b w:val="false"/>
          <w:i/>
          <w:caps w:val="false"/>
          <w:smallCaps w:val="false"/>
          <w:sz w:val="20"/>
        </w:rPr>
        <w:t>Yakuza</w:t>
      </w:r>
      <w:r>
        <w:rPr>
          <w:rFonts w:ascii="Times New Roman;Times;Serif" w:hAnsi="Times New Roman;Times;Serif"/>
          <w:b w:val="false"/>
          <w:i w:val="false"/>
          <w:caps w:val="false"/>
          <w:smallCaps w:val="false"/>
          <w:sz w:val="20"/>
        </w:rPr>
        <w:t xml:space="preserve"> series and </w:t>
      </w:r>
      <w:r>
        <w:rPr>
          <w:rFonts w:ascii="Times New Roman;Times;Serif" w:hAnsi="Times New Roman;Times;Serif"/>
          <w:b w:val="false"/>
          <w:i/>
          <w:caps w:val="false"/>
          <w:smallCaps w:val="false"/>
          <w:sz w:val="20"/>
        </w:rPr>
        <w:t>Persona</w:t>
      </w:r>
      <w:r>
        <w:rPr>
          <w:rFonts w:ascii="Times New Roman;Times;Serif" w:hAnsi="Times New Roman;Times;Serif"/>
          <w:b w:val="false"/>
          <w:i w:val="false"/>
          <w:caps w:val="false"/>
          <w:smallCaps w:val="false"/>
          <w:sz w:val="20"/>
        </w:rPr>
        <w:t xml:space="preserve"> 5 in Asia. Distribution revenue derived from Sega© game titles accounted for more than 6%, 15% and 29% of GCL Group’s total consolidated revenue for the fiscal years ended March 31, 2026, 2025 and 2024, respectively. Sega is also a shareholder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7930" w:type="dxa"/>
        <w:jc w:val="left"/>
        <w:tblInd w:w="0" w:type="dxa"/>
        <w:tblLayout w:type="fixed"/>
        <w:tblCellMar>
          <w:top w:w="0" w:type="dxa"/>
          <w:left w:w="0" w:type="dxa"/>
          <w:bottom w:w="0" w:type="dxa"/>
          <w:right w:w="0" w:type="dxa"/>
        </w:tblCellMar>
      </w:tblPr>
      <w:tblGrid>
        <w:gridCol w:w="155"/>
        <w:gridCol w:w="7775"/>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https://www.gamespot.com/gallery/top-10-best-selling-video-games-of-all-time/2900-4814/#1</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distribution agreements and street date (the date on which the video game has its initial commercial release to consumers) agreements with other international video game publishers and studios, Epicsoft Asia can be granted either an exclusive right or a non-exclusive, non-sublicensable, limited license to distribute certain game products, and the publishers retain all rights to the intellectual property, the so-called “game IP,” including but not limited to, the trademarks, copyright and design rights. These distribution agreements typically require Epicsoft Asia to spend a pre-determined minimum amount on marketing and promoting the video game products, including the Add-Ons, during and after the initial launch of the game in Asia, and commit to a minimum order quantity per game title within a certain time period. Epicsoft Asia is offered a wholesale unit price per game and per Packaged Media Unit, and certain payment terms based on a variety of factors including, past relationships, purchase quantities, language version (e.g., Chinese, Korean, Thai), and the format in which the game is delivered. Most multi-year deals also cover the so-called “day one edition,” “enhanced edition,” “collector’s edition” and “game of the year edition” that may be produced by the video game publisher for release in Packaged Media Units after the initial release of the video games. In some cases, Epicsoft Asia also provides localization services, and end user customer and technical support for the game products distributed within its territories.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 generates revenue from sales to retailers and consumers of console games and game codes, and distributing gaming content that are compatible with major gaming consoles such as Sony PlayStation, Microsoft Xbox, Nintendo Switch and PCs to resellers and consumers.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derived from the sale of console games and activation keys either at a fixed price or at a transaction price that varies based on a number of factors including but not limited to, the retailers’ monthly sales, and proportional factor from sales of each specific game title.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game sales and distribution was one of the handful of businesses positively affected by the COVID-19 pandemic, driven by the demand for more entertainment such as video games, when staying home. Like most businesses, the pandemic has caused Epicsoft Asia to accelerate the process of further digitization and rely more on e-commerce. Since July 2022, 2Game has served as GCL Group’s authorized digital sales platform that operates as a business-to-business (“</w:t>
      </w:r>
      <w:r>
        <w:rPr>
          <w:rFonts w:ascii="Times New Roman;Times;Serif" w:hAnsi="Times New Roman;Times;Serif"/>
          <w:b/>
          <w:i/>
          <w:caps w:val="false"/>
          <w:smallCaps w:val="false"/>
          <w:sz w:val="20"/>
        </w:rPr>
        <w:t>B2B</w:t>
      </w:r>
      <w:r>
        <w:rPr>
          <w:rFonts w:ascii="Times New Roman;Times;Serif" w:hAnsi="Times New Roman;Times;Serif"/>
          <w:b w:val="false"/>
          <w:i w:val="false"/>
          <w:caps w:val="false"/>
          <w:smallCaps w:val="false"/>
          <w:sz w:val="20"/>
        </w:rPr>
        <w:t>”) and business-to-consumers (“</w:t>
      </w:r>
      <w:r>
        <w:rPr>
          <w:rFonts w:ascii="Times New Roman;Times;Serif" w:hAnsi="Times New Roman;Times;Serif"/>
          <w:b/>
          <w:i/>
          <w:caps w:val="false"/>
          <w:smallCaps w:val="false"/>
          <w:sz w:val="20"/>
        </w:rPr>
        <w:t>B2C</w:t>
      </w:r>
      <w:r>
        <w:rPr>
          <w:rFonts w:ascii="Times New Roman;Times;Serif" w:hAnsi="Times New Roman;Times;Serif"/>
          <w:b w:val="false"/>
          <w:i w:val="false"/>
          <w:caps w:val="false"/>
          <w:smallCaps w:val="false"/>
          <w:sz w:val="20"/>
        </w:rPr>
        <w:t>”) digital video game retailer. It sells and distributes activation keys to both resellers and consumers, as part of GCL Group’s effort to transition from physical console game compact discs to activation keys and digital content. 2game’s revenue is primarily generated from sale of activation keys.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 Leong Technologies Limited (“Ban Leong”) serves as an authorized distributor for major brands of hardware, computer accessories, and other multimedia products. Ban Leong sells IT products, computer accessories, and consumer electronics through multiple channels, including e-commerce platforms, retail and chain stores, and direct sales to corporate resellers and system integrators.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2025, and 2024, revenue generated from console game, hardware, and accessories was approximately $228.9 million, $123.3 million, and $91.0 million, respectively, representing approximately 95.8%, 86.8%, and 93.3% of GCL Group’s total consolidated revenue during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4Divinity is a GCL Group Subsidiary dedicated to the games publishing business. Its mission is to partner with international game publishers and content development studios to introduce new video game and entertainment properties to Asia’s fast-growing market of gamers, and to introduce original Asian-developed content to the global market. In December 2024 and April 2025, each of 4Divinity UK and 4Divinity JP was formed as a wholly-owned subsidiary of 4Divinity to support GCL Group’s game publishing and development business in Europe and Japan, respectively. As of the date of this Report, GCL Group has either published or co-published more than 15 game titles: </w:t>
      </w:r>
      <w:r>
        <w:rPr>
          <w:rFonts w:ascii="Times New Roman;Times;Serif" w:hAnsi="Times New Roman;Times;Serif"/>
          <w:b w:val="false"/>
          <w:i/>
          <w:caps w:val="false"/>
          <w:smallCaps w:val="false"/>
          <w:sz w:val="20"/>
        </w:rPr>
        <w:t>Black Myth Wukong (physical publishing), S.T.A.L.K.E.R. 2: Heart of Chornobyl, JDM: Japanese Drift Master, Kong: Survivor Instinct, Mandragora- Whispers of the Witch Tree, TerraTech Worlds, First Dwarf, Daymare: 1994 Sandcastle, Figment 2: Creed Valley, Atomic Heart, Windrose, Realm of Ink Island of Hearts, Love is All Around: Collections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Atomic Heart</w:t>
      </w:r>
      <w:r>
        <w:rPr>
          <w:rFonts w:ascii="Times New Roman;Times;Serif" w:hAnsi="Times New Roman;Times;Serif"/>
          <w:b w:val="false"/>
          <w:i w:val="false"/>
          <w:caps w:val="false"/>
          <w:smallCaps w:val="false"/>
          <w:sz w:val="20"/>
        </w:rPr>
        <w:t xml:space="preserve"> is a video game co-published with Focus Entertainment, an international game studio backed by Chinese multinational conglomerate, Tencent, and an independent European video game developer and publisher.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3743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91250" cy="3743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give Valve’s Steam, Microsoft Xbox and Sony’s PlayStation Network a non-exclusive license to reproduce, publicly display and perform, transmit, sell, license and otherwise distribute the PC games in object code form, and generate our games publishing revenue on these gaming platforms. We recognize our games publishing revenue at the point in time when control of the console game code is transferred to the gaming platform, which specifically occurs when the console game code has been activated. We recognized revenue from game publishing on a gross basis, and remit to the developer a development fee based on a certain percentage of the revenue generated from the gaming platform. The publishing agreements we have with the international game studios and developers give us the publishing rights, and typically contain, among other things, (i) a minimum sales guarantee payable upon achievement of certain milestones before the game is published, (ii) a minimum guaranteed development fee, (iii) a marketing budget, and (iv) localization services (with specified supported languages). These agreements typically cover all editions of the game available for release on platforms, including Steam, PlayStation and Xbox, within a certain pre-determined time period after the first commercial release of the game. In some cases, depending on the number of games sold, we may be entitled to recoup all or a portion of the marketing expenses used to promote the game from the sale proceeds of the 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March 31, 2026, 2025, and 2024, revenue generated from games publishing was approximately $7.1 million, $16.0 million, and $3.4 million, representing approximately 3.0%, 11.3%, and 3.5% of GCL Group’s total consolidated revenue,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Video Marketing Campaign and Social Media Advertising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TDM is a branding and digital marketing agency managed by Tan Jian Hao, a top YouTuber creator and influencer in Singapore. TDM specializes in creating customized and strategic marketing campaigns specific to a brand’s needs. It provides video marketing campaign services, which include video production, content alteration based on the customer’s specifications, and video publishing on designated influencers’ social media platforms, such as Tiktok and YouTube. It has more than 100 million monthly organic views, and its customers include small and medium-sized enterprises (the “</w:t>
      </w:r>
      <w:r>
        <w:rPr>
          <w:rFonts w:ascii="Times New Roman;Times;Serif" w:hAnsi="Times New Roman;Times;Serif"/>
          <w:b/>
          <w:i/>
          <w:caps w:val="false"/>
          <w:smallCaps w:val="false"/>
          <w:sz w:val="20"/>
        </w:rPr>
        <w:t>SMEs</w:t>
      </w:r>
      <w:r>
        <w:rPr>
          <w:rFonts w:ascii="Times New Roman;Times;Serif" w:hAnsi="Times New Roman;Times;Serif"/>
          <w:b w:val="false"/>
          <w:i w:val="false"/>
          <w:caps w:val="false"/>
          <w:smallCaps w:val="false"/>
          <w:sz w:val="20"/>
        </w:rPr>
        <w:t>”) and government agencies.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TDM also generates advertising revenue from participating in the social media advertising programs allowing YouTube to display advertisements on TDM’s video posting and share a portion of the revenue generated from those advertisements with TDM. The profit-sharing arrangements with the social media platform can be based on multiple factors over time, including viewer engagement, viewer location, the type of advertisement, the number of advertisements placed.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in-house strategists, producers, designers, video production and marketing team, TDM is a full-service agency that connects a brand with its target audience to achieve campaign key performance indicators (“</w:t>
      </w:r>
      <w:r>
        <w:rPr>
          <w:rFonts w:ascii="Times New Roman;Times;Serif" w:hAnsi="Times New Roman;Times;Serif"/>
          <w:b/>
          <w:i/>
          <w:caps w:val="false"/>
          <w:smallCaps w:val="false"/>
          <w:sz w:val="20"/>
        </w:rPr>
        <w:t>KPIs</w:t>
      </w:r>
      <w:r>
        <w:rPr>
          <w:rFonts w:ascii="Times New Roman;Times;Serif" w:hAnsi="Times New Roman;Times;Serif"/>
          <w:b w:val="false"/>
          <w:i w:val="false"/>
          <w:caps w:val="false"/>
          <w:smallCaps w:val="false"/>
          <w:sz w:val="20"/>
        </w:rPr>
        <w:t>”) and marketing goals. It has a production studio, an advertising agency, and a multi-channel network of talents. TDM is an 85%-owned subsidiary of GCL Group. For the fiscal year ended March 31, 2026, 2025, and 2024, revenue generated from media and content advertising services was approximately $1.5 million, $2.2 million, and $2.7 million respectively, representing approximately 0.6%, 1.6%, and 2.8% of GCL Group’s total consolidated revenue of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67200" cy="1457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1457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Multi-year distribution arrangements with international video game publishers and studios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forged multi-year deals with international video game publishers and studios such as Sega Corporation (“</w:t>
      </w:r>
      <w:r>
        <w:rPr>
          <w:rFonts w:ascii="Times New Roman;Times;Serif" w:hAnsi="Times New Roman;Times;Serif"/>
          <w:b/>
          <w:i/>
          <w:caps w:val="false"/>
          <w:smallCaps w:val="false"/>
          <w:sz w:val="20"/>
        </w:rPr>
        <w:t>Sega</w:t>
      </w:r>
      <w:r>
        <w:rPr>
          <w:rFonts w:ascii="Times New Roman;Times;Serif" w:hAnsi="Times New Roman;Times;Serif"/>
          <w:b w:val="false"/>
          <w:i w:val="false"/>
          <w:caps w:val="false"/>
          <w:smallCaps w:val="false"/>
          <w:sz w:val="20"/>
        </w:rPr>
        <w:t>”), Take-Two Interactive Software UK Limited (“</w:t>
      </w:r>
      <w:r>
        <w:rPr>
          <w:rFonts w:ascii="Times New Roman;Times;Serif" w:hAnsi="Times New Roman;Times;Serif"/>
          <w:b/>
          <w:i/>
          <w:caps w:val="false"/>
          <w:smallCaps w:val="false"/>
          <w:sz w:val="20"/>
        </w:rPr>
        <w:t>Take-two</w:t>
      </w:r>
      <w:r>
        <w:rPr>
          <w:rFonts w:ascii="Times New Roman;Times;Serif" w:hAnsi="Times New Roman;Times;Serif"/>
          <w:b w:val="false"/>
          <w:i w:val="false"/>
          <w:caps w:val="false"/>
          <w:smallCaps w:val="false"/>
          <w:sz w:val="20"/>
        </w:rPr>
        <w:t>”), CD Projekt S.A. (“</w:t>
      </w:r>
      <w:r>
        <w:rPr>
          <w:rFonts w:ascii="Times New Roman;Times;Serif" w:hAnsi="Times New Roman;Times;Serif"/>
          <w:b/>
          <w:i/>
          <w:caps w:val="false"/>
          <w:smallCaps w:val="false"/>
          <w:sz w:val="20"/>
        </w:rPr>
        <w:t>CDPR</w:t>
      </w:r>
      <w:r>
        <w:rPr>
          <w:rFonts w:ascii="Times New Roman;Times;Serif" w:hAnsi="Times New Roman;Times;Serif"/>
          <w:b w:val="false"/>
          <w:i w:val="false"/>
          <w:caps w:val="false"/>
          <w:smallCaps w:val="false"/>
          <w:sz w:val="20"/>
        </w:rPr>
        <w:t xml:space="preserve">”) and Warner Bros. Games to sell select game titles (including </w:t>
      </w:r>
      <w:r>
        <w:rPr>
          <w:rFonts w:ascii="Times New Roman;Times;Serif" w:hAnsi="Times New Roman;Times;Serif"/>
          <w:b w:val="false"/>
          <w:i/>
          <w:caps w:val="false"/>
          <w:smallCaps w:val="false"/>
          <w:sz w:val="20"/>
        </w:rPr>
        <w:t>Cyberpunk 2077, Grand Auto Theft V, NBA 2K26, The Witcher 3: the Wild Hunt, Hogwarts Legacy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Mortal Kombat 1)</w:t>
      </w:r>
      <w:r>
        <w:rPr>
          <w:rFonts w:ascii="Times New Roman;Times;Serif" w:hAnsi="Times New Roman;Times;Serif"/>
          <w:b w:val="false"/>
          <w:i w:val="false"/>
          <w:caps w:val="false"/>
          <w:smallCaps w:val="false"/>
          <w:sz w:val="20"/>
        </w:rPr>
        <w:t xml:space="preserve"> within certain territories in Asia (e.g., Hong Kong, Indonesia, Malaysia, Philippines, Singapore, Taiwan and Thailand). Epicsoft Asia started distributing Sega© games in 2018. We continue to distribute popular Sega© game titles, including games under the </w:t>
      </w:r>
      <w:r>
        <w:rPr>
          <w:rFonts w:ascii="Times New Roman;Times;Serif" w:hAnsi="Times New Roman;Times;Serif"/>
          <w:b w:val="false"/>
          <w:i/>
          <w:caps w:val="false"/>
          <w:smallCaps w:val="false"/>
          <w:sz w:val="20"/>
        </w:rPr>
        <w:t>Sonic</w:t>
      </w:r>
      <w:r>
        <w:rPr>
          <w:rFonts w:ascii="Times New Roman;Times;Serif" w:hAnsi="Times New Roman;Times;Serif"/>
          <w:b w:val="false"/>
          <w:i w:val="false"/>
          <w:caps w:val="false"/>
          <w:smallCaps w:val="false"/>
          <w:sz w:val="20"/>
        </w:rPr>
        <w:t xml:space="preserve"> franchise, the </w:t>
      </w:r>
      <w:r>
        <w:rPr>
          <w:rFonts w:ascii="Times New Roman;Times;Serif" w:hAnsi="Times New Roman;Times;Serif"/>
          <w:b w:val="false"/>
          <w:i/>
          <w:caps w:val="false"/>
          <w:smallCaps w:val="false"/>
          <w:sz w:val="20"/>
        </w:rPr>
        <w:t>Yakuza</w:t>
      </w:r>
      <w:r>
        <w:rPr>
          <w:rFonts w:ascii="Times New Roman;Times;Serif" w:hAnsi="Times New Roman;Times;Serif"/>
          <w:b w:val="false"/>
          <w:i w:val="false"/>
          <w:caps w:val="false"/>
          <w:smallCaps w:val="false"/>
          <w:sz w:val="20"/>
        </w:rPr>
        <w:t xml:space="preserve"> series and </w:t>
      </w:r>
      <w:r>
        <w:rPr>
          <w:rFonts w:ascii="Times New Roman;Times;Serif" w:hAnsi="Times New Roman;Times;Serif"/>
          <w:b w:val="false"/>
          <w:i/>
          <w:caps w:val="false"/>
          <w:smallCaps w:val="false"/>
          <w:sz w:val="20"/>
        </w:rPr>
        <w:t>Persona 5</w:t>
      </w:r>
      <w:r>
        <w:rPr>
          <w:rFonts w:ascii="Times New Roman;Times;Serif" w:hAnsi="Times New Roman;Times;Serif"/>
          <w:b w:val="false"/>
          <w:i w:val="false"/>
          <w:caps w:val="false"/>
          <w:smallCaps w:val="false"/>
          <w:sz w:val="20"/>
        </w:rPr>
        <w:t xml:space="preserve"> in Asia.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Extensive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one of the largest distribution networks for video games in Asia through resellers with physical and online stores. We have over ten years of video games distribution and retail network management experience, and long-standing relationships with resellers with more than 2,100 online and offline stores. Some of these resellers operate e-commerce sites in Asia, such as Shopee, Lazada, and Taobao. Since July 2022, we also started selling and distributing activation keys to both resellers and consumers on our own digital platform, www.2game.com. There are currently more than 8,000 game titles available on 2Game’s platform. 2Game currently has almost 1 million registered users and approximately 41.2% of 2Game’s revenue comes from Europe, with approximately 26.2% from Asia, 26.9% from the U.S. and the remaining 5.7% from Latin America. We have sold more than 17.9 million of physical and digital copies of video games during the past three fiscal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Newzoo’s Global Games Market Report 2024 (August 2024), over 53% of the 3.42 billion gamers in the world in 2024 are from the Asia-Pacific region. Most of this growth is driven by player growth in Central and Southeast Asian markets. It was reported that as of March 2025, Chinese overtakes English as the most commonly used language on Steam</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number of indie &amp; premium games from Asia are also on the rise. </w:t>
      </w:r>
      <w:r>
        <w:rPr>
          <w:rFonts w:ascii="Times New Roman;Times;Serif" w:hAnsi="Times New Roman;Times;Serif"/>
          <w:b w:val="false"/>
          <w:i/>
          <w:caps w:val="false"/>
          <w:smallCaps w:val="false"/>
          <w:sz w:val="20"/>
        </w:rPr>
        <w:t>Black Myth: Wukong</w:t>
      </w:r>
      <w:r>
        <w:rPr>
          <w:rFonts w:ascii="Times New Roman;Times;Serif" w:hAnsi="Times New Roman;Times;Serif"/>
          <w:b w:val="false"/>
          <w:i w:val="false"/>
          <w:caps w:val="false"/>
          <w:smallCaps w:val="false"/>
          <w:sz w:val="20"/>
        </w:rPr>
        <w:t xml:space="preserve"> sold 25,000,000 copies globally during the first five months of its launch in August 2024</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and physical copies of the game are being distributed by GCL in Asia. Management believes that GCL Group’s leading position and track record in game distribution in Asia, and strong foothold and presence in different parts of the Asia-Pacific region make us an appealing business partner to Chinese game giants, such as Tencent Interactive Entertainment (“</w:t>
      </w:r>
      <w:r>
        <w:rPr>
          <w:rFonts w:ascii="Times New Roman;Times;Serif" w:hAnsi="Times New Roman;Times;Serif"/>
          <w:b/>
          <w:i/>
          <w:caps w:val="false"/>
          <w:smallCaps w:val="false"/>
          <w:sz w:val="20"/>
        </w:rPr>
        <w:t>Tencent</w:t>
      </w:r>
      <w:r>
        <w:rPr>
          <w:rFonts w:ascii="Times New Roman;Times;Serif" w:hAnsi="Times New Roman;Times;Serif"/>
          <w:b w:val="false"/>
          <w:i w:val="false"/>
          <w:caps w:val="false"/>
          <w:smallCaps w:val="false"/>
          <w:sz w:val="20"/>
        </w:rPr>
        <w:t>”) and NetEase Games, which rely on strong partners to distribute and publish their games outside of China. Partnerships with these major players in the gaming market will allow us the opportunity to strengthen our leading market position leveraging on our established reputation in the industry and extensive distribution network.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8545" w:type="dxa"/>
        <w:jc w:val="left"/>
        <w:tblInd w:w="0" w:type="dxa"/>
        <w:tblLayout w:type="fixed"/>
        <w:tblCellMar>
          <w:top w:w="0" w:type="dxa"/>
          <w:left w:w="0" w:type="dxa"/>
          <w:bottom w:w="0" w:type="dxa"/>
          <w:right w:w="0" w:type="dxa"/>
        </w:tblCellMar>
      </w:tblPr>
      <w:tblGrid>
        <w:gridCol w:w="155"/>
        <w:gridCol w:w="839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https://spilled.gg/simplified-chinese-overtakes-english-popular-language-steam/</w:t>
            </w:r>
          </w:p>
        </w:tc>
      </w:tr>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https://gameworldobserver.com/2025/01/31/black-myth-wukong-25m-copies-sold-merchandise-china</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Unique position to offer a full suite of game marketing, distribution and publishing services with strong value proposition for game studios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Asian gaming market remains fragmented and highly competitive today with games being sold at different price points, depending on the demand and purchasing power of the local market. Given the number of Asian languages and cultures in the region, there is also a non-uniform demand of gaming content depending on the relevance of the game IP in Asia. For example, the demand of a basketball game like NBA would traditionally be stronger in the Philippines than in Indonesia due to the sports centric local culture in the Philippines that transcends through social and economic barriers.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extensive distribution network in Asia, and long-standing relationships with our resellers in the region, we have built our expertise and local domain knowledge by staying very close to the ground as historical games sales data can give us intelligence on the best ways certain games should be distributed in certain parts of Asia. We have an in-house creative media design team with creative designers, video editors, videographers and studio facilities to produce marketing and promotional materials adapted to local markets. We also have our own production studio and an advertising agency. We leverage TDM influencers to help increase the outreach and visibility of our games via content creation in a bid to quickly amass substantial player numbers. For many consumers, the viewpoints and recommendations of these influencers and creators have replaced traditional journalism and games criticism. Growing our business into game publishing, marketing and media and having our own digital game distribution platform means that we have a strong value proposition for game studios who want to penetrate the Asian gaming market. We distinguish ourselves from our competitors in our ability to offer for international game publishers and studios a one-stop shop for all their marketing, distribution. and publishing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by an industry veteran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Chairman, Mr. Jacky Choo See Wee is an industry veteran with over 20 years of experience in the video game industry. He has deep insights and connections with international publishers, developers, studios and video game resellers in Asia. He has a deep understanding of gaming trends, technology, and market dynamics. Mr. Choo has been serving in multiple executive and decision making positions within the GCL Group and other private companies in the video game industry since 2005. He capitalized on emerging trends and led the digital transformation of the Company’s business by expanding into digital game distribution. Under Mr. Choo’s leadership, GCL Group will continue to invest in emerging opportunities in upcoming titles across all platforms, as well as downloadable content for existing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growth strategies include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Diversify revenue streams through acquisition of Ban Leong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Ban Leong has allowed us to diversify our revenue streams, introduce additional sales channels, and enhance both companies’ brand positioning within an integrated gaming ecosystem. By incorporating Ban Leong’s presence in gaming hardware and consumer electronics along with its distribution rights to some of the biggest gaming hardware and consumer electronics brand, we believe we will benefit from its relatively stable revenue trajectory. We will continue to explore opportunities to align with Ban Leong’s marketing and procurement strategies in the consumer electronics and gaming hardware sectors. This may include initiatives such as leveraging Ban Leong’s industry relationships, exploring B2C sales opportunities for gaming peripherals and PC components that complement GCL’s gaming content, and evaluating the feasibility of introducing branded gaming devices pre-installed with GCL titles. In connection with these initiatives, GCL may also consider bundling its software content with hardware products and assess potential areas for collaboration that align its intellectual property with Ban Leong’s product offerings. GCL and Ban Leong will continue to assess how the GCL Group’s existing sales and distribution infrastructure across Asia can support the broader commercialization of GCL’s games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our “hit” game titles offerings through more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strategy is to capitalize on the popularity of video games by distributing and publishing more high-quality interactive entertainment experiences to the growing Asian gaming market. We focus on building a large catalogue of game offerings by obtaining the distribution rights for “hit” game titles which can create sequels and incremental revenue opportunities through add-on content and merchandise. During the fiscal year ended March 31, 2026, 2025 and 2024, we sold approximately 6.4 million, 6.5 million, and 5.0 million physical and digital game titles in addition to back catalog games, respectively. We plan to continue to support the success of our games in the marketplace through innovative marketing programs, leverage global and our own TDM influencers to help increase the outreach and visibility of our games, and further expand our distribution network by acquiring additional retail sales and distribution channels, including e-commerce sites that are relevant to our target audience. This strategy will not only bolster our market leading position in the game distribution market but also attract more game publishing opportunities to us, and therefore enhancing our overall ability to monetize game 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 in emerging technologies, development studios, and distribution channels, including digitally delivered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interactive entertainment software industry is delivering a growing amount of content for traditional platforms through digital download. Partly due to the availability of digital-only consoles and early-access benefits of digital copies of video games, we believe digital distribution of the games will continue to rise. We provide digitally delivered games in the form of activation keys, which typically have a higher gross margin than physically delivered boxed console games. Many of our titles that are available through retailers as packaged goods products are also available through activation keys (from websites we own or third-party websites). We will continue to invest in emerging opportunities in upcoming titles across all platforms, as well as downloadable content for existing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fiscal year 2025, we have continued to make a concerted effort to move upstream into game IP development, and have made significant investment in our publishing business. We believe in investing in culturally distinctive and globally resonant game IP. We are committed to building a portfolio of valuable game IP, and believe we can offer development studios with the capital, publishing reach, and strategic support needed for them to scale globally.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 into a fully integrated ecosystem in the industry through organic growth and strategic acquisitions of complementary or ancillary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core business in game distribution, we know the demand of the gaming community in the Asian markets. Since fiscal year 2025, we have continued to move into content and game creation. We are committed to growing ancillary businesses such as gaming hardware, by acquiring Ban Leong and Martiangear. We believe that upstream value creation process will not only add to our revenue stream but also propel us to become the next Asian powerhouse in video games and entertainment content marketing, delivering high-quality and engaging entertainment experiences across consoles and PCs, and introducing original Asian-developed video games and entertainment content to the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Choo, our Group Chairman, has extensive experience in strategic acquisitions in the gaming industry. We believe strategic acquisition in our core game distribution business as well as ancillary businesses will greatly contribute and accelerate our growth and broaden our appeal to different stakeholders in the industry. Although we have no agreements in place, we are actively exploring strategic acquisition opportunities that support our mission, and are focused on growing into a fully integrated ecosystem in the gaming industry through organic growth and strategic acquisitions of complementary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 and monetize game IP through transmedia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the overall entertainment industry is converging towards transmedia, a trend in which game companies adapt rich source material from their game IP to film, television, comics and other media to boost revenues, deepen engagement and expand the reach of the franchise. Recent notable examples would be the </w:t>
      </w:r>
      <w:r>
        <w:rPr>
          <w:rFonts w:ascii="Times New Roman;Times;Serif" w:hAnsi="Times New Roman;Times;Serif"/>
          <w:b w:val="false"/>
          <w:i/>
          <w:caps w:val="false"/>
          <w:smallCaps w:val="false"/>
          <w:sz w:val="20"/>
        </w:rPr>
        <w:t>Dungeon &amp; Dragon</w:t>
      </w:r>
      <w:r>
        <w:rPr>
          <w:rFonts w:ascii="Times New Roman;Times;Serif" w:hAnsi="Times New Roman;Times;Serif"/>
          <w:b w:val="false"/>
          <w:i w:val="false"/>
          <w:caps w:val="false"/>
          <w:smallCaps w:val="false"/>
          <w:sz w:val="20"/>
        </w:rPr>
        <w:t xml:space="preserve"> movie and the </w:t>
      </w:r>
      <w:r>
        <w:rPr>
          <w:rFonts w:ascii="Times New Roman;Times;Serif" w:hAnsi="Times New Roman;Times;Serif"/>
          <w:b w:val="false"/>
          <w:i/>
          <w:caps w:val="false"/>
          <w:smallCaps w:val="false"/>
          <w:sz w:val="20"/>
        </w:rPr>
        <w:t>Witcher</w:t>
      </w:r>
      <w:r>
        <w:rPr>
          <w:rFonts w:ascii="Times New Roman;Times;Serif" w:hAnsi="Times New Roman;Times;Serif"/>
          <w:b w:val="false"/>
          <w:i w:val="false"/>
          <w:caps w:val="false"/>
          <w:smallCaps w:val="false"/>
          <w:sz w:val="20"/>
        </w:rPr>
        <w:t xml:space="preserve"> series on Netflix which were based on the </w:t>
      </w:r>
      <w:r>
        <w:rPr>
          <w:rFonts w:ascii="Times New Roman;Times;Serif" w:hAnsi="Times New Roman;Times;Serif"/>
          <w:b w:val="false"/>
          <w:i/>
          <w:caps w:val="false"/>
          <w:smallCaps w:val="false"/>
          <w:sz w:val="20"/>
        </w:rPr>
        <w:t>Dungeons and Dragons</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Witcher</w:t>
      </w:r>
      <w:r>
        <w:rPr>
          <w:rFonts w:ascii="Times New Roman;Times;Serif" w:hAnsi="Times New Roman;Times;Serif"/>
          <w:b w:val="false"/>
          <w:i w:val="false"/>
          <w:caps w:val="false"/>
          <w:smallCaps w:val="false"/>
          <w:sz w:val="20"/>
        </w:rPr>
        <w:t xml:space="preserve"> game series and derived from the </w:t>
      </w:r>
      <w:r>
        <w:rPr>
          <w:rFonts w:ascii="Times New Roman;Times;Serif" w:hAnsi="Times New Roman;Times;Serif"/>
          <w:b w:val="false"/>
          <w:i/>
          <w:caps w:val="false"/>
          <w:smallCaps w:val="false"/>
          <w:sz w:val="20"/>
        </w:rPr>
        <w:t>Witcher</w:t>
      </w:r>
      <w:r>
        <w:rPr>
          <w:rFonts w:ascii="Times New Roman;Times;Serif" w:hAnsi="Times New Roman;Times;Serif"/>
          <w:b w:val="false"/>
          <w:i w:val="false"/>
          <w:caps w:val="false"/>
          <w:smallCaps w:val="false"/>
          <w:sz w:val="20"/>
        </w:rPr>
        <w:t xml:space="preserve"> novel series. Since 2018, we have witnessed a growing number of video game adaptations that have made their way onto home streaming services. In the case of </w:t>
      </w:r>
      <w:r>
        <w:rPr>
          <w:rFonts w:ascii="Times New Roman;Times;Serif" w:hAnsi="Times New Roman;Times;Serif"/>
          <w:b w:val="false"/>
          <w:i/>
          <w:caps w:val="false"/>
          <w:smallCaps w:val="false"/>
          <w:sz w:val="20"/>
        </w:rPr>
        <w:t xml:space="preserve">S.T.A.L.K.E.R. 2: Heart of Chornobyl, </w:t>
      </w:r>
      <w:r>
        <w:rPr>
          <w:rFonts w:ascii="Times New Roman;Times;Serif" w:hAnsi="Times New Roman;Times;Serif"/>
          <w:b w:val="false"/>
          <w:i w:val="false"/>
          <w:caps w:val="false"/>
          <w:smallCaps w:val="false"/>
          <w:sz w:val="20"/>
        </w:rPr>
        <w:t>a game we co-published in 2024, the anticipation of the game led to a film adaptation released in October 2024 which became a catalyst for the game launch in November 2024. As we continue to expand into content and game creation and investment in game IP and establish our international presence as game publisher outside of Asia, we believe we are well positioned to allow for IP adaptations across various mediums for potential further monetization through transmedia.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game titles both physically and digitally in Asia through our direct relationships with resellers through their physical and digital storefronts. Our top customers include regional resellers in Singapore, Hong Kong, Malaysia, Japan, South Korea, Taiwan, Thailand, Indonesia, the Philippines and other Asian countries. We have sales operations in Singapore, Hong Kong, Malaysia, but also have marketing staff in Europe, the Middle East and other parts of the world outside of Asia.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2025, and 2024, approximately 95.8%, 86.8%, and 93.3% of our total consolidated revenue was generated from console game, hardware, and accessories respectively. We are dependent on a limited number of customers that account for a significant portion of sales. For the fiscal year ended March 31, 2026, one customer accounted for more than 11% of our total revenue. For the fiscal year ended March 31, 2025, our three biggest customer accounted for approximately 6%, 15% and 14% of our total revenue, respectively. For the fiscal year ended March 31, 2024, sales to our four biggest customers accounted for over half of our total consolidated revenue, with each of them accounting for approximately 17%, 12%, 11% and 11% of our total revenue, respectively. While we believe digital distribution will continue to rise and presents an important growth opportunity for our industry and company, we expect that packaged goods and traditional retailers will continue to be a significant channel for the sale of our console products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and promotional efforts are intended to maximize consumer interest in our game titles, promote brand name recognition in the industry, assist retailers and properly position, package and merchandise the game titles we distribute. Depending on the arrangements we have with the game publishers, we may be able to recoup some or all of our marketing expenses in connection with our promotional efforts of certain select game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game titles by:</w:t>
      </w:r>
    </w:p>
    <w:p>
      <w:pPr>
        <w:pStyle w:val="TextBody"/>
        <w:bidi w:val="0"/>
        <w:spacing w:before="0" w:after="0"/>
        <w:ind w:left="0" w:right="0" w:firstLine="36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105"/>
        <w:gridCol w:w="200"/>
        <w:gridCol w:w="74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promotional campaigns, using digital, online, outdoor, and print marketing;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adapting international game products to local markets, including but not limited to, producing localization materials in additional languages (e.g., Chinese, Japanese, Korean, and Thai) and otherwise providing a connection between the games and the local gaming communities;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employing various other marketing methods designed to promote consumer awareness, including social media, the use of character standees, point-of-sale (“</w:t>
            </w:r>
            <w:r>
              <w:rPr>
                <w:rFonts w:ascii="Times New Roman;Times;Serif" w:hAnsi="Times New Roman;Times;Serif"/>
                <w:b/>
                <w:i/>
                <w:caps w:val="false"/>
                <w:smallCaps w:val="false"/>
                <w:sz w:val="20"/>
              </w:rPr>
              <w:t>POS</w:t>
            </w:r>
            <w:r>
              <w:rPr>
                <w:rFonts w:ascii="Times New Roman;Times;Serif" w:hAnsi="Times New Roman;Times;Serif"/>
                <w:b w:val="false"/>
                <w:i w:val="false"/>
                <w:caps w:val="false"/>
                <w:smallCaps w:val="false"/>
                <w:sz w:val="20"/>
              </w:rPr>
              <w:t>”) materials, compact discs (“</w:t>
            </w:r>
            <w:r>
              <w:rPr>
                <w:rFonts w:ascii="Times New Roman;Times;Serif" w:hAnsi="Times New Roman;Times;Serif"/>
                <w:b/>
                <w:i/>
                <w:caps w:val="false"/>
                <w:smallCaps w:val="false"/>
                <w:sz w:val="20"/>
              </w:rPr>
              <w:t>CDs</w:t>
            </w:r>
            <w:r>
              <w:rPr>
                <w:rFonts w:ascii="Times New Roman;Times;Serif" w:hAnsi="Times New Roman;Times;Serif"/>
                <w:b w:val="false"/>
                <w:i w:val="false"/>
                <w:caps w:val="false"/>
                <w:smallCaps w:val="false"/>
                <w:sz w:val="20"/>
              </w:rPr>
              <w:t>”), CD inlays, manuals, and stationary and mobile billboards;</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hosting in-person and virtual launch or other promotional events;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TDM influencers to help increase the outreach and visibility of our games via content creation in a bid to quickly amass substantial player numbers for the games we distribute.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efforts are spearheaded by our Deputy Group CEO and Group Chief Marketing Officer, Mr. Keith Liu Min Tzau who leads, plans and executes marketing campaigns, collaborates with global game publishers and studios, and manages game releases on Valve’s Steam platform, Microsoft’s Xbox and Sony’s PlayStation Network. As of the date of this Report, we had 147 full-time employees dedicated to 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Regulations Applicable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sets forth a summary of applicable laws, rules, regulations, government and industry policies and requirements that have a significant impact on the Company’s operations and business in Asia. This summary does not purport to be a complete description of all laws and regulations, which apply to the Company’s business and operations. Investors should note that the following summary is based on relevant laws and regulations in force as of the date of this Report, which may be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is predominantly conducted by our Group Subsidiaries in Singapore, but we have operations also in Thailand, Malaysia and Hong Kong and outside of Asia. Hong Kong was established as a special administrative region of the PRC in accordance with Article 31 of the Constitution of the PRC. The Basic Law of the Hong Kong Special Administrative Region of the People’s Republic of China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furthermore, the laws previously in force in Hong Kong, that is, the common law, rules of equity, ordinances, subordinate legislation and customary law, shall be maintained, except for any that contravene the Basic Law and are subject to any amendment by the legislature of Hong Kong, and the national laws of the mainland China shall not be applied in Hong Kong except for those that relating to defense, foreign affairs and other matters that are not outside the limits of the autonomy of Hong Kong as specified by the Basic Law, which are listed under Annex III to the Basic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subject to various laws and regulations in Singapore, Thailand, Malaysia, Hong Kong and the other countries in which we operate, including those relating to video game distribution and classification, internet content, consumer protection, labor laws, prevention of money laundering and financing of criminal activity and terrorism, privacy and data protection, foreign exchange controls and competition laws, among others, all of which are continuously evolving and developing. It is also likely that as our business grows and evolves to other countries, including Japan, PRC, Taiwan, Brazil, U.A.E and United Kingdom, and we will become subject to laws and regulations in additional jurisdictions. The scope and interpretation of the laws and regulations that are or may be applicable to us are often unclear and may conflict. Additional laws in these and other areas affecting our business are likely to be enacted in the future, which could limit or require changes to the ways in which we conduct our business, and could both increase our compliance costs and decrease our revenues. See “Risk Factors - Risks Related to the Company’s International Operations, Legal and Regulatory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Singapore through the following subsidiaries: (a) Epicsoft Asia, which is primarily involved in the marketing and retail distribution of video games, game codes and other related consumer items in Singapore, (b) TDM, which operates a branding and digital marketing agency, (c) Starry Jewelery, which is in the business of fashion jewellery sales, (d) Martiangear, which is in the business of sales of gaming chairs and related merchandise sales, (e) 4Divinity, which is primarily involved in the digital and retail game business, and (f) Ban Leong, which is primarily involved in distribution of IT hardware, gaming components, and smart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Singapore subsidiaries has been incorporated in accordance with the Companies Act 1967 of Singapore (“</w:t>
      </w:r>
      <w:r>
        <w:rPr>
          <w:rFonts w:ascii="Times New Roman;Times;Serif" w:hAnsi="Times New Roman;Times;Serif"/>
          <w:b/>
          <w:i/>
          <w:caps w:val="false"/>
          <w:smallCaps w:val="false"/>
          <w:sz w:val="20"/>
        </w:rPr>
        <w:t>Singapore Companies Act</w:t>
      </w:r>
      <w:r>
        <w:rPr>
          <w:rFonts w:ascii="Times New Roman;Times;Serif" w:hAnsi="Times New Roman;Times;Serif"/>
          <w:b w:val="false"/>
          <w:i w:val="false"/>
          <w:caps w:val="false"/>
          <w:smallCaps w:val="false"/>
          <w:sz w:val="20"/>
        </w:rPr>
        <w:t>”) and registered with the Accounting and Corporate Regulatory Authority of Singapore as required by the Singapore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Video Game Distribution and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Films Act 1981 of Singapore, the Infocomm Media Development Authority (“</w:t>
      </w:r>
      <w:r>
        <w:rPr>
          <w:rFonts w:ascii="Times New Roman;Times;Serif" w:hAnsi="Times New Roman;Times;Serif"/>
          <w:b/>
          <w:i/>
          <w:caps w:val="false"/>
          <w:smallCaps w:val="false"/>
          <w:sz w:val="20"/>
        </w:rPr>
        <w:t>IMDA</w:t>
      </w:r>
      <w:r>
        <w:rPr>
          <w:rFonts w:ascii="Times New Roman;Times;Serif" w:hAnsi="Times New Roman;Times;Serif"/>
          <w:b w:val="false"/>
          <w:i w:val="false"/>
          <w:caps w:val="false"/>
          <w:smallCaps w:val="false"/>
          <w:sz w:val="20"/>
        </w:rPr>
        <w:t>”), being the regulator of the information, communications and media sectors in Singapore, is responsible for classifying films, videos and video games distributed in Singapore. In particular, it administers the video game classification system under the Films Act 1981, which requires businesses importing or distributing physical copies of video games in Singapore to submit the video games to the IMDA for rating and classification. However, the video game classification system does not apply to games which are only available via internet download. Since the online games that we offer are available only through online platforms, we in general are not subject to the video game classification system. However, the IMDA retains the right to issue a rating and/or classification of any of the online games we offer, should it choose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Films (Class Licence for Video Games Distribution) Order 2019, distributors and retailers of video games in Singapore are automatically class licensed, and shall comply with the conditions of the class licence under the said Order such as ensuring that only appropriate video games or any related promotional films are distributed.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Consumer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general consumer protection laws in place in Singapore, which apply generally to all relevant transactions including electronic transactions, but are not specifically targeted at regulating e-commerce operations. One or more of these laws would be relevant in the context of live streaming operations or e-commerce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Protection (Fair Trading) Act 2003 of Singapore is the primary statute governing consumer protection which sets out a legislative framework prohibiting suppliers from engaging in unfair practices in relation to transactions and to allow consumers aggrieved by unfair practices to have recourse to civil remedies before the Singapore courts. The definition of supplier under the Consumer Protection (Fair Trading) Act 2003 of Singapore includes persons who promote the use or purchase of goods or services. Suppliers may be held liable for engaging in unfair practices in relation to consumer transactions. Unfair practices include, among other things, (i) doing or saying anything, or omitting to do or say anything, that would reasonably deceive or mislead consumers, (ii) making a false claim, (iii) taking unreasonable advantage of a consumer, or (iv) making various forms of misrepresentations to the consumer.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Protection (Trade Descriptions and Safety Requirements) Act 1975 of Singapore prohibits the use of false trade descriptions on goods supplied in the course of trade. Trade descriptions include any description, statement or indication that directly or indirectly relates to the fitness for purpose, strength, performance, behavior or accuracy of any goods. This prohibition applies to all persons in the course of business and would be applicable in an e-commerce marketplace. Violations of the Consumer Protection (Trade Descriptions and Safety Requirements) Act 1975 of Singapore are subject to criminal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Unfair Contract Terms Act 1977 of Singapore generally regulates against unfair contract terms such as exclusion clauses and limitation of liability clauses in most consumer and standard form contracts. Amongst other things, the Unfair Contract Terms Act 1977 of Singapore prohibits the exclusion or restriction of liability for death or personal injury caused by negligence in all contracts. It also prevents sellers/service providers from excluding or limiting their liability for a breach of contract, unless it is reasonable for them to do so. The Unfair Contract Terms Act 1977 also circumscribes the limitation of liability in relation to certain implied terms in respect of goods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Code of Advertising Practice (the “</w:t>
      </w:r>
      <w:r>
        <w:rPr>
          <w:rFonts w:ascii="Times New Roman;Times;Serif" w:hAnsi="Times New Roman;Times;Serif"/>
          <w:b/>
          <w:i/>
          <w:caps w:val="false"/>
          <w:smallCaps w:val="false"/>
          <w:sz w:val="20"/>
        </w:rPr>
        <w:t>SCAP</w:t>
      </w:r>
      <w:r>
        <w:rPr>
          <w:rFonts w:ascii="Times New Roman;Times;Serif" w:hAnsi="Times New Roman;Times;Serif"/>
          <w:b w:val="false"/>
          <w:i w:val="false"/>
          <w:caps w:val="false"/>
          <w:smallCaps w:val="false"/>
          <w:sz w:val="20"/>
        </w:rPr>
        <w:t>”) is a code of practice set out by the Advertising Standards Authority of Singapore (the “</w:t>
      </w:r>
      <w:r>
        <w:rPr>
          <w:rFonts w:ascii="Times New Roman;Times;Serif" w:hAnsi="Times New Roman;Times;Serif"/>
          <w:b/>
          <w:i/>
          <w:caps w:val="false"/>
          <w:smallCaps w:val="false"/>
          <w:sz w:val="20"/>
        </w:rPr>
        <w:t>ASAS</w:t>
      </w:r>
      <w:r>
        <w:rPr>
          <w:rFonts w:ascii="Times New Roman;Times;Serif" w:hAnsi="Times New Roman;Times;Serif"/>
          <w:b w:val="false"/>
          <w:i w:val="false"/>
          <w:caps w:val="false"/>
          <w:smallCaps w:val="false"/>
          <w:sz w:val="20"/>
        </w:rPr>
        <w:t>”) prescribing general principles applicable to advertisements, which include decency, honesty and truthful presentation, and contains guidelines relating to specific services/products. While the SCAP has no force of law, a breach of the SCAP may lead to ASAS referring the matter to the Consumers Association of Singapore for actions under the Consumer Protection (Fair Trading) Act 2003 of Singapore if an advertiser has repeatedly violated the SCAP by marketing false, misleading or unsubstantiated claims. The ASAS has also issued additional guidelines from time to time, such as the Guidelines for Interactive Marketing Communication &amp; Social Media, which emphasizes that marketing communication should be clearly distinguishable from editorial and personal opinion and should not take the form of social media content that appears to originate from a credible and impartial source, and the Guidelines on Advertising of Investments, which aim to minimize investments-related advertisement with claims that are speculative, misleading or not substantiable.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Spam Control Act 2007 of Singapore, as administered by the IMDA regulates the sending or receiving of unsolicited bulk commercial electronic messages, or “spam”, in Singapore It imposes certain requirements on the sending or receiving of unsolicited bulk commercial electronic messages, or “spam,” in Singapore and applies to emails and text messages that have a Singapore nexus. Electronic messages must have an “unsubscribe facility” or “opt-out” function, and the recipient should be removed from the distribution list within 10 business days after submitting an opt-out request. Any person who suffers loss or damage as a result of any violation of the foregoing requirements is entitled to institute legal action, and the court may grant injunctions, damages or statutory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Internet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Broadcasting Act 1994 of Singapore (“</w:t>
      </w:r>
      <w:r>
        <w:rPr>
          <w:rFonts w:ascii="Times New Roman;Times;Serif" w:hAnsi="Times New Roman;Times;Serif"/>
          <w:b/>
          <w:i/>
          <w:caps w:val="false"/>
          <w:smallCaps w:val="false"/>
          <w:sz w:val="20"/>
        </w:rPr>
        <w:t>Broadcasting Act</w:t>
      </w:r>
      <w:r>
        <w:rPr>
          <w:rFonts w:ascii="Times New Roman;Times;Serif" w:hAnsi="Times New Roman;Times;Serif"/>
          <w:b w:val="false"/>
          <w:i w:val="false"/>
          <w:caps w:val="false"/>
          <w:smallCaps w:val="false"/>
          <w:sz w:val="20"/>
        </w:rPr>
        <w:t>”), no licensable broadcasting services in or from Singapore can be provided unless a broadcasting license has been granted by the IMDA. “Computer online services” provided by internet content providers (as defined under the Broadcasting (Class License) Notification, “</w:t>
      </w:r>
      <w:r>
        <w:rPr>
          <w:rFonts w:ascii="Times New Roman;Times;Serif" w:hAnsi="Times New Roman;Times;Serif"/>
          <w:b/>
          <w:i/>
          <w:caps w:val="false"/>
          <w:smallCaps w:val="false"/>
          <w:sz w:val="20"/>
        </w:rPr>
        <w:t>ICPs</w:t>
      </w:r>
      <w:r>
        <w:rPr>
          <w:rFonts w:ascii="Times New Roman;Times;Serif" w:hAnsi="Times New Roman;Times;Serif"/>
          <w:b w:val="false"/>
          <w:i w:val="false"/>
          <w:caps w:val="false"/>
          <w:smallCaps w:val="false"/>
          <w:sz w:val="20"/>
        </w:rPr>
        <w:t>”) are a licensable broadcasting service under the Broadcasting Act. Providers of Internet-based content generally are considered ICPs under the Broadcasting (Class License) Notification and are subject to an automatically-granted class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ICPs must comply with codes of practice issued by the IMDA from time to time, including the Internet Code of Practice issued by IMDA. These requirements include, among other things, that the ICP must use its best efforts to ensure that prohibited material (i.e., any material that is objectionable on the grounds of public interest, public morality, public order, public security or national harmony, offends good taste or decency, or is otherwise prohibited by applicable Singapore laws) is not broadcasted via the internet to users in Singapore and must deny access to any material considered by IMDA to be prohibited material if it is directed to do so by the IMDA.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Protection from Harassment Act 2014 of Singapore protects persons against harassment and harmful social behavior such as cyber bullying and unlawful stalking, as well as the publication of false statements of fact about any person. Perpetrators can be both individuals and organisations. Individual suffering from such harassment or social behavior, a victim, may apply for a protection order if he or she is able to show, inter alia, that the perpetrator of harassment, through threatening, abusive or insulting communication, has: (i) caused harassment, alarm or distress to the victim through the intention to use or make any threatening, abusive or insulting communication; or (ii) caused the victim to believe that violence will be used or provoked against him or her. Where a protection order has been granted by the Singapore courts under the relevant provisions of the Protection from Harassment Act 2014 of Singapore in relation to online harassment that has been perpetrated, the perpetrator may be required to take down the offending communication and may also be required to comply with any other conditions set by the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Protection from Online Falsehoods and Manipulation Act 2019 of Singapore (“</w:t>
      </w:r>
      <w:r>
        <w:rPr>
          <w:rFonts w:ascii="Times New Roman;Times;Serif" w:hAnsi="Times New Roman;Times;Serif"/>
          <w:b/>
          <w:i/>
          <w:caps w:val="false"/>
          <w:smallCaps w:val="false"/>
          <w:sz w:val="20"/>
        </w:rPr>
        <w:t>POFMA</w:t>
      </w:r>
      <w:r>
        <w:rPr>
          <w:rFonts w:ascii="Times New Roman;Times;Serif" w:hAnsi="Times New Roman;Times;Serif"/>
          <w:b w:val="false"/>
          <w:i w:val="false"/>
          <w:caps w:val="false"/>
          <w:smallCaps w:val="false"/>
          <w:sz w:val="20"/>
        </w:rPr>
        <w:t xml:space="preserve">”) counters the proliferation of online falsehoods. Under the POFMA, it is an offence to,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knowingly communicate a false statement of fact which is likely to be prejudicial to the security of Singapore or any part of Singapore. To the extent that our platforms or services transmit or allow our users to access third-party online content, we would be an internet intermediary under the POFMA. POFMA empowers any Singapore government minister to direct the POFMA Office, situated within IMDA that is responsible for the administration of POFMA, to issue certain directions to internet intermediaries whose service has been used to communicate material that contains or consists of a false statement of fact in Singapore if the minister is of the opinion that it would be in the public interest to do so. Such directions would include (a) targeted correction directions, which require the internet intermediary to communicate a correction notice on its service to all end-users in Singapore who accessed the offending false statement of fact by means of its service after a specified time; and (b) disabling directions, which require the internet intermediary to disable access by end-users in Singapore to the offending false statement of fact being communicated on or through its service. Internet intermediaries may be fined or have their access to their online location by Singapore end-users disabled if they fail to comply with directions issued under POFMA without reasonable excuse.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various other content regulation laws in Singapore,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Undesirable Publications Act 1967 (“</w:t>
            </w:r>
            <w:r>
              <w:rPr>
                <w:rFonts w:ascii="Times New Roman;Times;Serif" w:hAnsi="Times New Roman;Times;Serif"/>
                <w:b/>
                <w:i/>
                <w:sz w:val="20"/>
              </w:rPr>
              <w:t>UPA</w:t>
            </w:r>
            <w:r>
              <w:rPr>
                <w:rFonts w:ascii="Times New Roman;Times;Serif" w:hAnsi="Times New Roman;Times;Serif"/>
                <w:sz w:val="20"/>
              </w:rPr>
              <w:t>”): The UPA prevents the importation, distribution and reproduction of obscene and objectionable publications. The definition of “publication” is wide, and includes “any picture or drawing, whether made by computer-graphics or otherwise howsoever”. The UPA makes it an offence for a person to reproduce any obscene or objectionable publication knowing or having reason to believe that it is obscene or objectionable.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Interference (Countermeasures) Act 2021 (“</w:t>
            </w:r>
            <w:r>
              <w:rPr>
                <w:rFonts w:ascii="Times New Roman;Times;Serif" w:hAnsi="Times New Roman;Times;Serif"/>
                <w:b/>
                <w:i/>
                <w:sz w:val="20"/>
              </w:rPr>
              <w:t>FICA</w:t>
            </w:r>
            <w:r>
              <w:rPr>
                <w:rFonts w:ascii="Times New Roman;Times;Serif" w:hAnsi="Times New Roman;Times;Serif"/>
                <w:sz w:val="20"/>
              </w:rPr>
              <w:t xml:space="preserve">”): The FICA is intended to counteract foreign interference in the public interest. Under the FICA, it would be an offence to, </w:t>
            </w:r>
            <w:r>
              <w:rPr>
                <w:rFonts w:ascii="Times New Roman;Times;Serif" w:hAnsi="Times New Roman;Times;Serif"/>
                <w:i/>
                <w:sz w:val="20"/>
              </w:rPr>
              <w:t>inter alia</w:t>
            </w:r>
            <w:r>
              <w:rPr>
                <w:rFonts w:ascii="Times New Roman;Times;Serif" w:hAnsi="Times New Roman;Times;Serif"/>
                <w:sz w:val="20"/>
              </w:rPr>
              <w:t>, undertake (or prepare or plan to undertake) “electronic communications activity” in or outside Singapore that results in or involves the publication in Singapore of any information/material on behalf of (i) a foreign principal or (ii) another person acting on the foreign principal’s behalf, where any part of the undertaking or electronic communications activity is covert or involves deception, and with knowledge or reason to believe that the electronic communications activity or the published information/material is likely to be prejudicial to the security of Singapore or any part of Singapore.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Online Safety (Miscellaneous Amendments) Act 2022 (the “</w:t>
            </w:r>
            <w:r>
              <w:rPr>
                <w:rFonts w:ascii="Times New Roman;Times;Serif" w:hAnsi="Times New Roman;Times;Serif"/>
                <w:b/>
                <w:i/>
                <w:sz w:val="20"/>
              </w:rPr>
              <w:t>OSA</w:t>
            </w:r>
            <w:r>
              <w:rPr>
                <w:rFonts w:ascii="Times New Roman;Times;Serif" w:hAnsi="Times New Roman;Times;Serif"/>
                <w:sz w:val="20"/>
              </w:rPr>
              <w:t>”): The OSA amended the Broadcasting Act 1994 introducing a new Part 10A, regulating online communication services (“</w:t>
            </w:r>
            <w:r>
              <w:rPr>
                <w:rFonts w:ascii="Times New Roman;Times;Serif" w:hAnsi="Times New Roman;Times;Serif"/>
                <w:b/>
                <w:i/>
                <w:sz w:val="20"/>
              </w:rPr>
              <w:t>OCSs</w:t>
            </w:r>
            <w:r>
              <w:rPr>
                <w:rFonts w:ascii="Times New Roman;Times;Serif" w:hAnsi="Times New Roman;Times;Serif"/>
                <w:sz w:val="20"/>
              </w:rPr>
              <w:t>”) provided to Singapore end-users and listed in a schedule under the Broadcasting Act 1994. These regulations will apply to OCSs provided from outside Singapore as well as services provided in or from Singapore. At present, only one type of OCS is specified, namely social media services (“</w:t>
            </w:r>
            <w:r>
              <w:rPr>
                <w:rFonts w:ascii="Times New Roman;Times;Serif" w:hAnsi="Times New Roman;Times;Serif"/>
                <w:b/>
                <w:i/>
                <w:sz w:val="20"/>
              </w:rPr>
              <w:t>SMS</w:t>
            </w:r>
            <w:r>
              <w:rPr>
                <w:rFonts w:ascii="Times New Roman;Times;Serif" w:hAnsi="Times New Roman;Times;Serif"/>
                <w:sz w:val="20"/>
              </w:rPr>
              <w:t>”). An SMS is defined as an electronic service whose sole or primary purpose is to enable online interaction or linking between two or more end-users, including enabling end-users to share content for social purposes, and which allows end-users to communicate content on the service. Under Part 10A, (i) providers of OCSs with significant reach or impact (as designated by the IMDA) are required to comply with the IMDA’s codes of practice; and (ii) if the IMDA is satisfied that any egregious content provided on an OCS can be accessed by Singapore end-users, IMDA can, among others, issue directions to the OCS provider to disable access to the egregious content by Singapore end-users, and stop the egregious content from being transmitted to Singapore end-users via other channels or accounts (though such directions cannot be issued in respect of private communications due to privacy concerns). Non-compliance with a direction by IMDA constitutes a criminal offence, punishable with a fine.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Intellectual Property Office of Singapore administers the intellectual property legislative framework in Singapore, which includes copyrights, trademarks and patents. Singapore is a member of the main international conventions regulating intellectual property matters, and the World Trade Organization’s Agreement on Trade Related Aspects of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operates a first-to-file system in respect of registered trademarks under the Trade Marks Act 1988 of Singapore, and the registered proprietor is granted a statutory monopoly of the trademark in Singapore in relation to the product or service for which it is registered. In the event of any trademark infringement, the registered proprietor will be able to rely on the registered trademark as proof of his right to the mark, and the infringement of a trademark may give rise to civil and criminal liabilities. Statutory protection of a registered trademark can last indefinitely, as long as the registration is renewed every 10 years. Unregistered trademarks are also protected under the common law of passing off, provided that the owner is able to prove that there is goodwill or reputation in the mark; misrepresentation on the part of the infringer; and damage to the mark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Competition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Act 2004 of Singapore prohibits anti-competitive practices. Specific prohibited activities include agreements that prevent, restrict or distort competition, abuse of dominance and mergers that substantially lessen competition, whether these take place within or outside of Singapore, so long as they have an impact on a market in Singapore. The Competition and Consumer Commission of Singapore (the “</w:t>
      </w:r>
      <w:r>
        <w:rPr>
          <w:rFonts w:ascii="Times New Roman;Times;Serif" w:hAnsi="Times New Roman;Times;Serif"/>
          <w:b/>
          <w:i/>
          <w:caps w:val="false"/>
          <w:smallCaps w:val="false"/>
          <w:sz w:val="20"/>
        </w:rPr>
        <w:t>CCCS</w:t>
      </w:r>
      <w:r>
        <w:rPr>
          <w:rFonts w:ascii="Times New Roman;Times;Serif" w:hAnsi="Times New Roman;Times;Serif"/>
          <w:b w:val="false"/>
          <w:i w:val="false"/>
          <w:caps w:val="false"/>
          <w:smallCaps w:val="false"/>
          <w:sz w:val="20"/>
        </w:rPr>
        <w:t>”) is responsible for administering and enforcing the Competition Act 2004 of Singapore, which covers all industries and sectors unless specifically exempted or excluded. Infringements of the Competition Act can result in financial penalties of up to 10 per cent. of the turnover of the business in Singapore for each year of infringement, up to a maximum of three years. The CCCS also has powers to impose directions requiring infringing undertakings to stop or modify the activity or conduct, or in the case of anti-competitive mergers, to remedy, mitigate or eliminate the adverse effects arising from the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Labor and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Act 1968 of Singapore (the “</w:t>
      </w:r>
      <w:r>
        <w:rPr>
          <w:rFonts w:ascii="Times New Roman;Times;Serif" w:hAnsi="Times New Roman;Times;Serif"/>
          <w:b/>
          <w:i/>
          <w:caps w:val="false"/>
          <w:smallCaps w:val="false"/>
          <w:sz w:val="20"/>
        </w:rPr>
        <w:t>Singapore Employment Act</w:t>
      </w:r>
      <w:r>
        <w:rPr>
          <w:rFonts w:ascii="Times New Roman;Times;Serif" w:hAnsi="Times New Roman;Times;Serif"/>
          <w:b w:val="false"/>
          <w:i w:val="false"/>
          <w:caps w:val="false"/>
          <w:smallCaps w:val="false"/>
          <w:sz w:val="20"/>
        </w:rPr>
        <w:t>”) generally extends to all employees regardless of their designation, salary level or type of work performed, with the exception of certain groups of employees (i.e., seafarers, domestic workers and public workers). It provides employees falling within its ambit certain protections such as minimum notice periods, restrictions in relation to the deductions from wages, minimum days of annual and sick leave, maternity/paternity leave and paid childcare leave. The Singapore Employment Act also applies to employees who are foreigners so long as they fall within the definition of “employee” under the Singapore Employment Act. Employers in Singapore owe a statutory obligation under the Central Provident Fund Act 1953 of Singapore to contribute to a Central Provident Fund in relation to wages for employees who are Singapore citizens or permanent residents of Singapore. The specific contribution rate to be made by employers varies depending on whether the employee is a Singapore citizen or permanent resident and the age group and wage band of the employee.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Foreign Manpower Act 1990 of Singapore, provides that no person shall employ a foreign employee unless the foreign employee has a valid work pass. Work passes are issued by the Controller of Work Passes. In relation to the employment of semi-skilled foreign workers in the construction, manufacturing, marine shipyard, process or services sectors, employers must ensure that such persons apply for a “Work Permit”. In relation to the employment of foreign mid-level skilled workers, such persons apply for an “S Pass”. As of the date of this Report, the minimum qualifying salary requirements for S Pass applicants have been revised by the Ministry of Manpower from time to time and currently commence at S$3,300 per month, subject to higher qualifying salary requirements in certain sectors and for older and more experienced candidates. In relation to the employment of foreign professionals, managers and executives, employers must ensure that such persons apply for an “Employment Pass”. As of the date of this Report, the minimum qualifying salary requirements for Employment Pass applicants have been revised by the Ministry of Manpower from time to time and currently commence at S$5,600 per month (or S$6,200 per month in the financial services sector), subject to higher qualifying salary requirements for older and more experienced candidates. In addition to meeting the applicable minimum qualifying salary requirements, Employment Pass applicants are generally required to satisfy the points-based Complementarity Assessment Framework (“COMPASS”), subject to certain exemptions.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Anti-money Laundering and Counter-Terrorist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anti-money laundering and counter-terrorist financing legislation in Singapore that are of general application are the Corruption, Drug Trafficking and Other Serious Crimes (Confiscation of Benefits) Act 1992 of Singapore (the “</w:t>
      </w:r>
      <w:r>
        <w:rPr>
          <w:rFonts w:ascii="Times New Roman;Times;Serif" w:hAnsi="Times New Roman;Times;Serif"/>
          <w:b/>
          <w:i/>
          <w:caps w:val="false"/>
          <w:smallCaps w:val="false"/>
          <w:sz w:val="20"/>
        </w:rPr>
        <w:t>CDSA</w:t>
      </w:r>
      <w:r>
        <w:rPr>
          <w:rFonts w:ascii="Times New Roman;Times;Serif" w:hAnsi="Times New Roman;Times;Serif"/>
          <w:b w:val="false"/>
          <w:i w:val="false"/>
          <w:caps w:val="false"/>
          <w:smallCaps w:val="false"/>
          <w:sz w:val="20"/>
        </w:rPr>
        <w:t>”) and Terrorism (Suppression of Financing) Act 2002 of Singapore (the “</w:t>
      </w:r>
      <w:r>
        <w:rPr>
          <w:rFonts w:ascii="Times New Roman;Times;Serif" w:hAnsi="Times New Roman;Times;Serif"/>
          <w:b/>
          <w:i/>
          <w:caps w:val="false"/>
          <w:smallCaps w:val="false"/>
          <w:sz w:val="20"/>
        </w:rPr>
        <w:t>TSOFA</w:t>
      </w:r>
      <w:r>
        <w:rPr>
          <w:rFonts w:ascii="Times New Roman;Times;Serif" w:hAnsi="Times New Roman;Times;Serif"/>
          <w:b w:val="false"/>
          <w:i w:val="false"/>
          <w:caps w:val="false"/>
          <w:smallCaps w:val="false"/>
          <w:sz w:val="20"/>
        </w:rPr>
        <w:t>”). The CDSA provides for the confiscation of benefits derived from, and to combat, corruption, drug dealing and other serious crimes. Generally, the CDSA criminalizes the concealment or transfer of the benefits of criminal conduct as well as the knowing assistance of the concealment, transfer or retention of such benefits. The CDSA permits the confiscation of benefits derived from, and to combat, corruption, drug dealing and other serious crimes. The TSOFA criminalizes terrorism financing and prohibits any person in Singapore from dealing with or providing services to a terrorist entity, including those designated pursuant to the TSOFA. The CDSA and the TSOFA also require suspicious transaction reports to be lodged with the Suspicious Transaction Reporting Office, Singapore’s Financial Intelligence Unit within the Criminal Affairs Division of the Singapore Police Force. If any person fails to lodge the requisite reports under the CDSA and the TSOFA, it may be subject to criminal liability. In addition, the TSOFA has extraterritorial reach, and any person outside Singapore who commits an act or omission that would constitute an offense under the TSOFA if committed in Singapore may be proceeded against, charged, tried and punished accordingly in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Data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Data Protection Act 2012 of Singapore (the “</w:t>
      </w:r>
      <w:r>
        <w:rPr>
          <w:rFonts w:ascii="Times New Roman;Times;Serif" w:hAnsi="Times New Roman;Times;Serif"/>
          <w:b/>
          <w:i/>
          <w:caps w:val="false"/>
          <w:smallCaps w:val="false"/>
          <w:sz w:val="20"/>
        </w:rPr>
        <w:t>Singapore PDPA</w:t>
      </w:r>
      <w:r>
        <w:rPr>
          <w:rFonts w:ascii="Times New Roman;Times;Serif" w:hAnsi="Times New Roman;Times;Serif"/>
          <w:b w:val="false"/>
          <w:i w:val="false"/>
          <w:caps w:val="false"/>
          <w:smallCaps w:val="false"/>
          <w:sz w:val="20"/>
        </w:rPr>
        <w:t>”) governs the collection, use and disclosure of the personal data of individuals (being data, whether true or not, about an individual who can be identified from that data or other accessible information), and to provide individuals with the right to access and correct their own personal data. Organizations have mandatory obligations to assess data breaches they suffer, and to notify the Personal Data Protection Commission (the “</w:t>
      </w:r>
      <w:r>
        <w:rPr>
          <w:rFonts w:ascii="Times New Roman;Times;Serif" w:hAnsi="Times New Roman;Times;Serif"/>
          <w:b/>
          <w:i/>
          <w:caps w:val="false"/>
          <w:smallCaps w:val="false"/>
          <w:sz w:val="20"/>
        </w:rPr>
        <w:t>PDPC</w:t>
      </w:r>
      <w:r>
        <w:rPr>
          <w:rFonts w:ascii="Times New Roman;Times;Serif" w:hAnsi="Times New Roman;Times;Serif"/>
          <w:b w:val="false"/>
          <w:i w:val="false"/>
          <w:caps w:val="false"/>
          <w:smallCaps w:val="false"/>
          <w:sz w:val="20"/>
        </w:rPr>
        <w:t>”) and where applicable, the relevant individuals where the data breach is (or is likely to be) of a significant scale or resulting in (or is likely to result in) significant harm to individuals. Other obligations include accountability, protection, retention, and requirements around the overseas transfers of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Organizations are required to, among other things, (i) obtain consent from individuals and inform them of the applicable purposes before collecting, using or disclosing their personal data; and (ii) put in place reasonable measures to (a) protect the personal data in their possession or control from unauthorized access, loss or damage and (b) prevent the loss of any storage medium or device on which personal data is stored. In the event of a data breach involving any personal data in an organization’s possession or control, the Singapore PDPA requires the organization to reasonably and expeditiously assess whether the data breach is notifiable and notify the PDPC and, unless exceptions apply, the affected individuals of the data breach, if the data breach is assessed to be one that (a) is likely to result in significant harm or impact to the individuals to whom the information relates, or (b) is, or is likely to be, of a significant scale. Other obligations include accountability, retention and requirements around the overseas transfers of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Do-Not-Call (“</w:t>
      </w:r>
      <w:r>
        <w:rPr>
          <w:rFonts w:ascii="Times New Roman;Times;Serif" w:hAnsi="Times New Roman;Times;Serif"/>
          <w:b/>
          <w:i/>
          <w:caps w:val="false"/>
          <w:smallCaps w:val="false"/>
          <w:sz w:val="20"/>
        </w:rPr>
        <w:t>DNC</w:t>
      </w:r>
      <w:r>
        <w:rPr>
          <w:rFonts w:ascii="Times New Roman;Times;Serif" w:hAnsi="Times New Roman;Times;Serif"/>
          <w:b w:val="false"/>
          <w:i w:val="false"/>
          <w:caps w:val="false"/>
          <w:smallCaps w:val="false"/>
          <w:sz w:val="20"/>
        </w:rPr>
        <w:t>”) requirements require organizations to check “Do-Not-Call” registries prior to sending marketing messages addressed to Singapore telephone numbers, through voice calls, fax or text messages, unless clear and unambiguous consent to such marketing was obtained from the individual.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Singapore’s regulatory authorities, including the Personal Data Protection Commission, have issued and continue to develop guidance and governance frameworks concerning the responsible deployment of artificial intelligence technologies, including the use of personal data in artificial intelligence systems and generative artificial intelligence applications. Although such guidance and frameworks generally do not have the force of law, they may inform regulatory expectations regarding transparency, accountability and risk management in connection with the collection, use and disclosure of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the Singapore PDPA may attract financial penalties or even criminal liability. The PDPC has broad powers to give any such directions as it thinks fit to ensure compliance, which include requiring an organization to pay a financial penalty. In this connection: (i) in the case of contravention of the parts of the Singapore PDPA which sets out the obligations of organizations relating to data protection (including the obligation to protect and care for personal data, and to conduct assessments of data breaches), the maximum financial penalty that may be imposed: (a) on an organization whose annual turnover in Singapore exceeds S$10 million is 10% of the organization’s annual turnover in Singapore, if the contravention occurs on or after October 1, 2022; and (b) in any other case is S$1 million; and (ii) in the case of contravention of the DNC requirements, the maximum financial penalty that may be imposed is S$1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Investment and Exchange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have an umbrella regime for regulating foreign investment. Instead, foreign investment is regulated (if at all) by sector. Singapore imposes no significant restrictions on the repatriation of earnings and capital, or on remittances, foreign exchange transactions and capital movements.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Takeovers and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Takeovers and mergers of Singapore companies are regulated by the Singapore Code on Take-overs and Mergers (the “</w:t>
      </w:r>
      <w:r>
        <w:rPr>
          <w:rFonts w:ascii="Times New Roman;Times;Serif" w:hAnsi="Times New Roman;Times;Serif"/>
          <w:b/>
          <w:i/>
          <w:caps w:val="false"/>
          <w:smallCaps w:val="false"/>
          <w:sz w:val="20"/>
        </w:rPr>
        <w:t>Singapore Takeover Code</w:t>
      </w:r>
      <w:r>
        <w:rPr>
          <w:rFonts w:ascii="Times New Roman;Times;Serif" w:hAnsi="Times New Roman;Times;Serif"/>
          <w:b w:val="false"/>
          <w:i w:val="false"/>
          <w:caps w:val="false"/>
          <w:smallCaps w:val="false"/>
          <w:sz w:val="20"/>
        </w:rPr>
        <w:t>”), which is administered by the Securities Industry Council of Singapore (the “SIC”). The Singapore Takeover Code applies to both public companies and, in some cases, private companies with more than 50 shareholders and significant net 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Takeover Code sets out the legal and procedural framework for takeovers, including requirements relating to mandatory offers, pricing, disclosures, offer documentation, shareholder treatment, and timelines. Where applicable, we are required to comply with the Singapore Takeover Code in connection with any takeover or merger offer involving a Singapore target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Malaysia through our subsidiary, Epicsoft Malaysia, which is primarily engaged in the marketing and retail distribution of video games and related products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Business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desires to form a company shall apply for incorporation, pursuant to the provisions of the Companies Act 2016 of Malaysia (the “</w:t>
      </w:r>
      <w:r>
        <w:rPr>
          <w:rFonts w:ascii="Times New Roman;Times;Serif" w:hAnsi="Times New Roman;Times;Serif"/>
          <w:b/>
          <w:i/>
          <w:caps w:val="false"/>
          <w:smallCaps w:val="false"/>
          <w:sz w:val="20"/>
        </w:rPr>
        <w:t>Malaysian Companies Act</w:t>
      </w:r>
      <w:r>
        <w:rPr>
          <w:rFonts w:ascii="Times New Roman;Times;Serif" w:hAnsi="Times New Roman;Times;Serif"/>
          <w:b w:val="false"/>
          <w:i w:val="false"/>
          <w:caps w:val="false"/>
          <w:smallCaps w:val="false"/>
          <w:sz w:val="20"/>
        </w:rPr>
        <w:t>”), with the Companies Commission of Malaysia. The Local Government Act 1976 of Malaysia empowers every local authority to make, amend or revoke any by-laws in respect of the local government area, and to grant any licence or permit of any trade, occupation or premises and such licence shall be subject to such conditions and restrictions as the local authority may prescribe. As such, prior to the commencement of our business operations in Malaysia, we are required to apply for business premises licenses for each operating premise from the relevant local authority. We have registered our Malaysia subsidiary in accordance with the Malaysian Companies Act and have obtained the business premises license from the local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Labor and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and industrial relations in Malaysia are mainly governed by the Employment Act 1955 of Malaysia (the “</w:t>
      </w:r>
      <w:r>
        <w:rPr>
          <w:rFonts w:ascii="Times New Roman;Times;Serif" w:hAnsi="Times New Roman;Times;Serif"/>
          <w:b/>
          <w:i/>
          <w:caps w:val="false"/>
          <w:smallCaps w:val="false"/>
          <w:sz w:val="20"/>
        </w:rPr>
        <w:t>Malaysian Employment Act</w:t>
      </w:r>
      <w:r>
        <w:rPr>
          <w:rFonts w:ascii="Times New Roman;Times;Serif" w:hAnsi="Times New Roman;Times;Serif"/>
          <w:b w:val="false"/>
          <w:i w:val="false"/>
          <w:caps w:val="false"/>
          <w:smallCaps w:val="false"/>
          <w:sz w:val="20"/>
        </w:rPr>
        <w:t>”). The requirements under the Malaysia Employment Act apply to all employees that enter into a contract of service regardless of wages (except that, for certain prescribed categories of employees such as employees earning more than RM4,000 per month, provisions in the Malaysia Employment Act relating to, among other things, overtime payments and termination benefits do not apply). Both employees and employers in Malaysia are required to contribute toward the Employees Provident Fund, the Employment Insurance System and the Employees Social Security Fund. The contributions are premised on the statutorily prescribed rates under the Employees Provident Fund Act 1991 of Malaysia, Employment Insurance System Act 2017 of Malaysia and Employees’ Social Security Fund Act 1969 of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Worker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Malaysian law, an “employee” means a person engaged under a contract of service while an “independent contractor” means a person engaged pursuant to a contract for services. The Malaysian Employment Act defines “contract of service” as any agreement, whether oral or in writing and whether express or implied, whereby one person agrees to employ another as an employee and that other agrees to serve his or her employer as an employee and includes an apprenticeship contract. There is no single legal test to determine whether a person is engaged as an employee or an independent contractor. The degree of control exercised over the person engaged is an important factor but not the sole criteria in making a determination. The Industrial Court of Malaysia will examine all facts and circumstances and the conduct of the parties, including but not limited to the degree of control, whether there is a fixed compensation package or whether the individual undertook a business risk, exclusivity, whether any statutory contributions (such as the Employees Provident Fund) have been made and the contractual terms of the engagement in determining the status of an employee or independent contractor.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law in Malaysia achieves this by prohibiting two categories of activities: (i) anti-competitive practices and (ii) abuse of dominant positions, and the Competition Act 2010 of Malaysia is generally enforced by the Malaysia Competition Commission (the “</w:t>
      </w:r>
      <w:r>
        <w:rPr>
          <w:rFonts w:ascii="Times New Roman;Times;Serif" w:hAnsi="Times New Roman;Times;Serif"/>
          <w:b/>
          <w:i/>
          <w:caps w:val="false"/>
          <w:smallCaps w:val="false"/>
          <w:sz w:val="20"/>
        </w:rPr>
        <w:t>MyCC</w:t>
      </w:r>
      <w:r>
        <w:rPr>
          <w:rFonts w:ascii="Times New Roman;Times;Serif" w:hAnsi="Times New Roman;Times;Serif"/>
          <w:b w:val="false"/>
          <w:i w:val="false"/>
          <w:caps w:val="false"/>
          <w:smallCaps w:val="false"/>
          <w:sz w:val="20"/>
        </w:rPr>
        <w:t>”), save for competition issues arising in specific sectors (such as the telecommunications sector, the aviation sector and the energy and gas supply sector which fall under the relevant applicable laws and are regulated by other regulators). The Competition Act 2010 of Malaysia applies to all commercial activities which have an effect on competition in any market in Malaysia, whether such activities are carried out within or outside Malaysia. Infringements of the Competition Act 2010 of Malaysia may result in, among other things, the imposition of a financial penalty of up to 10% of the worldwide turnover of the enterprise for the period during which the infringement occurred. The MyCC may also take other actions, including issuing cease and desist orders. Infringements of Section 61 of the Competition Act 2010 of Malaysia, may result in a fine not exceeding five million ringgit, and for a second or subsequent offence, to a fine not exceeding ten million ringgit; or (b) if such person is not a body corporate, to a fine not exceeding one million ringgit or to imprisonment for a term not exceeding five years or to both, and for a second or subsequent offense, to a fine not exceeding two million ringgit or to imprisonment for a term not exceeding five years or to both.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Data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Data Protection Act 2010 of Malaysia (the “</w:t>
      </w:r>
      <w:r>
        <w:rPr>
          <w:rFonts w:ascii="Times New Roman;Times;Serif" w:hAnsi="Times New Roman;Times;Serif"/>
          <w:b/>
          <w:i/>
          <w:caps w:val="false"/>
          <w:smallCaps w:val="false"/>
          <w:sz w:val="20"/>
        </w:rPr>
        <w:t>Malaysia PDPA</w:t>
      </w:r>
      <w:r>
        <w:rPr>
          <w:rFonts w:ascii="Times New Roman;Times;Serif" w:hAnsi="Times New Roman;Times;Serif"/>
          <w:b w:val="false"/>
          <w:i w:val="false"/>
          <w:caps w:val="false"/>
          <w:smallCaps w:val="false"/>
          <w:sz w:val="20"/>
        </w:rPr>
        <w:t>”) regulates the processing of personal data in commercial transactions in Malaysia and is enforced by the Personal Data Protection Commission. The Malaysia PDPA applies to (a) any person who processes, and (b) any person who has control over or authorizes the processing of, any personal data in respect of commercial transactions. The Malaysia PDPA also applies to a person in respect of personal data if (a) the person is established in Malaysia and personal data is processed, whether or not in the context of that establishment, by that person or any other person employed or engaged by that establishment, or (b) the person is not established in Malaysia but uses equipment in Malaysia for processing the personal data, except for the purposes of transit through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Personal data” is statutorily defined to mean any information in respect of commercial transactions, which (a) is being processed wholly or partly by means of equipment operating automatically in response to instructions given for that purpose, (b) is recorded with the intention that it should wholly or partly be processed by means of such equipment, or (c) is recorded as part of, or with the intention that it should form a part of, a relevant filing system that relates directly or indirectly to a data subject (i.e., an individual who is the subject of the personal data) who is identified or identifiable from that information or from that and other information in the possession of a data user, including any sensitive personal data and expression of opinion about the data subject. “Personal data” does not include any information that is processed for the purpose of a credit reporting business carried on by a credit reporting agency under the Credit Reporting Agencies Act 2010 of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Malaysia PDPA, a “data user” is a person who either alone or jointly, or in common with other persons, processes any personal data or has control over, or authorizes the processing of, any personal data but does not include a processor. The Malaysia PDPA provides that data users must adhere to the following principles with respect to the processing of personal data:</w:t>
      </w:r>
    </w:p>
    <w:p>
      <w:pPr>
        <w:pStyle w:val="TextBody"/>
        <w:bidi w:val="0"/>
        <w:spacing w:before="0" w:after="0"/>
        <w:ind w:left="0" w:right="0" w:firstLine="36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68"/>
        <w:gridCol w:w="260"/>
        <w:gridCol w:w="183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general principle;</w:t>
            </w:r>
          </w:p>
        </w:tc>
      </w:tr>
    </w:tbl>
    <w:p>
      <w:pPr>
        <w:pStyle w:val="TextBody"/>
        <w:bidi w:val="0"/>
        <w:spacing w:before="0" w:after="0"/>
        <w:ind w:left="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275"/>
        <w:gridCol w:w="267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and choice principle;</w:t>
            </w:r>
          </w:p>
        </w:tc>
      </w:tr>
    </w:tbl>
    <w:p>
      <w:pPr>
        <w:pStyle w:val="TextBody"/>
        <w:bidi w:val="0"/>
        <w:spacing w:before="0" w:after="0"/>
        <w:ind w:left="0"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60"/>
        <w:gridCol w:w="20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disclosure principle;</w:t>
            </w:r>
          </w:p>
        </w:tc>
      </w:tr>
    </w:tbl>
    <w:p>
      <w:pPr>
        <w:pStyle w:val="TextBody"/>
        <w:bidi w:val="0"/>
        <w:spacing w:before="0" w:after="0"/>
        <w:ind w:left="0" w:right="0" w:hanging="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68"/>
        <w:gridCol w:w="275"/>
        <w:gridCol w:w="188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security principle;</w:t>
            </w:r>
          </w:p>
        </w:tc>
      </w:tr>
    </w:tbl>
    <w:p>
      <w:pPr>
        <w:pStyle w:val="TextBody"/>
        <w:bidi w:val="0"/>
        <w:spacing w:before="0" w:after="0"/>
        <w:ind w:left="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68"/>
        <w:gridCol w:w="260"/>
        <w:gridCol w:w="197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retention principle;</w:t>
            </w:r>
          </w:p>
        </w:tc>
      </w:tr>
    </w:tbl>
    <w:p>
      <w:pPr>
        <w:pStyle w:val="TextBody"/>
        <w:bidi w:val="0"/>
        <w:spacing w:before="0" w:after="0"/>
        <w:ind w:left="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68"/>
        <w:gridCol w:w="230"/>
        <w:gridCol w:w="267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data integrity principle; and</w:t>
            </w:r>
          </w:p>
        </w:tc>
      </w:tr>
    </w:tbl>
    <w:p>
      <w:pPr>
        <w:pStyle w:val="TextBody"/>
        <w:bidi w:val="0"/>
        <w:spacing w:before="0" w:after="0"/>
        <w:ind w:left="0" w:right="0" w:hanging="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68"/>
        <w:gridCol w:w="275"/>
        <w:gridCol w:w="173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access principle.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to process or disclose personal data relating to any individuals would require (i) consent from such individuals, particularly pertaining to sensitive personal data, which may be obtained in any form that can be recorded and maintained properly by the data user; and (ii) written notice to such individuals informing such individuals amongst others, (a) personal data that is being processed by or on behalf of the data user and whether it is obligatory or voluntary for the individual to supply the personal data and, where it is obligatory for the individual to supply the personal data, the consequences that the individual may face if the individual fails to supply the personal data, (b) the purposes for which the personal data is being or is to be collected and further processed, (c) any information available to the data user as to the source of that personal data, and (d) the individual’s right to request access to and request correction of the personal data. Any person engaged in processing personal data shall take measures to protect the personal data from any loss, misuse, modification, unauthorized or accidental access or disclosure, alteration or destruction and to maintain the integrity of the personal data processed, which should not be kept longer than necessary for the fulfilment of the purpose for which it was to be processed. Violation of the Malaysia PDPA, when convicted, may result fine up to RM500,000 and/or to imprisonment or both.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there is no overarching FDI regime in Malaysia, foreign equity restrictions thresholds vary between every industry, depending on the applicable laws, policies, and regulations issued by the relevant governmental departments. Epicsoft Malaysia is not subject to restrictions on foreign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Exchange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control regime in Malaysia is regulated by the Financial Services Act 2013 of Malaysia (the “</w:t>
      </w:r>
      <w:r>
        <w:rPr>
          <w:rFonts w:ascii="Times New Roman;Times;Serif" w:hAnsi="Times New Roman;Times;Serif"/>
          <w:b/>
          <w:i/>
          <w:caps w:val="false"/>
          <w:smallCaps w:val="false"/>
          <w:sz w:val="20"/>
        </w:rPr>
        <w:t>FSA</w:t>
      </w:r>
      <w:r>
        <w:rPr>
          <w:rFonts w:ascii="Times New Roman;Times;Serif" w:hAnsi="Times New Roman;Times;Serif"/>
          <w:b w:val="false"/>
          <w:i w:val="false"/>
          <w:caps w:val="false"/>
          <w:smallCaps w:val="false"/>
          <w:sz w:val="20"/>
        </w:rPr>
        <w:t>”), which regulates the domestic and international transactions involving residents and non-residents of Malaysia and prescribes a list of transactions that are prohibited without approval from the Bank Negara Malaysia (the Central Bank of Malaysia) (the “</w:t>
      </w:r>
      <w:r>
        <w:rPr>
          <w:rFonts w:ascii="Times New Roman;Times;Serif" w:hAnsi="Times New Roman;Times;Serif"/>
          <w:b/>
          <w:i/>
          <w:caps w:val="false"/>
          <w:smallCaps w:val="false"/>
          <w:sz w:val="20"/>
        </w:rPr>
        <w:t>BNM</w:t>
      </w:r>
      <w:r>
        <w:rPr>
          <w:rFonts w:ascii="Times New Roman;Times;Serif" w:hAnsi="Times New Roman;Times;Serif"/>
          <w:b w:val="false"/>
          <w:i w:val="false"/>
          <w:caps w:val="false"/>
          <w:smallCaps w:val="false"/>
          <w:sz w:val="20"/>
        </w:rPr>
        <w:t>”). In exercise of the powers conferred by the FSA, BNM issues the Foreign Exchange Notices (the “</w:t>
      </w:r>
      <w:r>
        <w:rPr>
          <w:rFonts w:ascii="Times New Roman;Times;Serif" w:hAnsi="Times New Roman;Times;Serif"/>
          <w:b/>
          <w:i/>
          <w:caps w:val="false"/>
          <w:smallCaps w:val="false"/>
          <w:sz w:val="20"/>
        </w:rPr>
        <w:t>FE Notices</w:t>
      </w:r>
      <w:r>
        <w:rPr>
          <w:rFonts w:ascii="Times New Roman;Times;Serif" w:hAnsi="Times New Roman;Times;Serif"/>
          <w:b w:val="false"/>
          <w:i w:val="false"/>
          <w:caps w:val="false"/>
          <w:smallCaps w:val="false"/>
          <w:sz w:val="20"/>
        </w:rPr>
        <w:t>”) which provides the directions, requirements, restrictions, and conditions of approval in respect of the prohibited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are generally free to repatriate proceeds, profits, dividends, rent, fees, and interest arising from any investment in Malaysia in foreign currency (except for the currency of Israel), subject to any withholding tax, in accordance with the FE Notices. The conversion of ringgit into foreign currency may be freely effected onshore with licensed banks or money-changers with certain limited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Anti-money Laundering and Counter-Terrorist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Anti-Money Laundering, Anti-Terrorism Financing and Proceeds of Unlawful Activities Act 2001 (“</w:t>
      </w:r>
      <w:r>
        <w:rPr>
          <w:rFonts w:ascii="Times New Roman;Times;Serif" w:hAnsi="Times New Roman;Times;Serif"/>
          <w:b/>
          <w:i/>
          <w:caps w:val="false"/>
          <w:smallCaps w:val="false"/>
          <w:sz w:val="20"/>
        </w:rPr>
        <w:t>AMLATFA</w:t>
      </w:r>
      <w:r>
        <w:rPr>
          <w:rFonts w:ascii="Times New Roman;Times;Serif" w:hAnsi="Times New Roman;Times;Serif"/>
          <w:b w:val="false"/>
          <w:i w:val="false"/>
          <w:caps w:val="false"/>
          <w:smallCaps w:val="false"/>
          <w:sz w:val="20"/>
        </w:rPr>
        <w:t>”), makes it an offense for any person to engage in or abet the commission of money laundering and terrorist financing, and seeks, among other things, to implement measures for the prevention of money laundering and terrorism financing offences. Any person who (a) engages in a transaction that involves proceeds of unlawful activity; (b) uses proceeds of unlawful activity; (c) removes from or brings into Malaysia proceeds of unlawful activity; or (d) conceals, disguises, or impedes the establishment of the true nature, origin, location, movement, disposition, title of, rights with respect to, or ownership of proceeds of unlawful activity commits a money laundering offense under the AMLATFA.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AMLATFA sets out the reporting institution under the First Schedule of the AMLATFA to comply with the further obligations of prevention of money laundering and financing terrorism, which include reporting and recordkeeping duties, such as submitting suspicious transaction reports, implementing a risk-based application, and conducting customer due diligence. Epicsoft Malaysia. is not deemed to be a reporting institution under the AMLATFA.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Hong Kong mainly through the following subsidiaries: (a) Epicsoft Hong Kong, which is primarily engaged in the marketing and retail distribution of video games software, game codes and other related consumer items in Hong Kong; (b) 2Game, which is primarily engaged in the distribution of video games and related products including digital content such as console game codes, and (c) 4Divinity HK Limited, which is principally a holding company established to hold investments and facilitate the Company’s operations in Hong Kong. Each of our Hong Kong subsidiaries has obtained a business registration certificate under the Business Registration Ordinance (Chapter 310 of the Laws of Hong Kong) since incorporation and the commencement of its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Business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Registration Ordinance (Chapter 310 of the Laws of Hong Kong), administered by Business Registration Office, requires every person carrying on any business to make an application to the Commissioner of Inland Revenue in the prescribed manner for the registration of that business within one month after the commencement of business. The Commissioner of Inland Revenue must register each business for which a business registration application is made and as soon as practicable after the prescribed business registration fee and levy are paid and issue a business registration certificate or branch registration certificate for the relevant business or the relevant branch, as the case may be. Any person who fails to apply for business registration shall be guilty of an offence and shall be liable for a fine of HK$5,000 and imprisonment for one year. As of the date of this Report, each of the Hong Kong subsidiaries have obtained and maintains a valid business registration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Trade Description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Descriptions Ordinance (Chapter 362 of the Laws of Hong Kong) prohibits false descriptions, false, misleading or incomplete information in respect of goods provided in the course of trade and to prohibit certain unfair trade practices. Under the Trade Descriptions Ordinance, it is an offence for a person, in the course of trade or business, to apply a false or misleading trade description to any goods or supply any goods with false or misleading trade descriptions, to forge any trademark or falsely apply any trademark to any goods, or to engage in relation to a consumer in a commercial practice that is a misleading omission, aggressive, bait advertising, a bait and switch, or constitutes wrongly accepting payment for a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commits any such offense is subject to, on conviction on indictment, a fine of up to HK$500,000 and imprisonment for five years and, on summary conviction, a fine of HK$100,000 and imprisonment for two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Labor and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Ordinance (Chapter 57 of the Laws of Hong Kong) (the “</w:t>
      </w:r>
      <w:r>
        <w:rPr>
          <w:rFonts w:ascii="Times New Roman;Times;Serif" w:hAnsi="Times New Roman;Times;Serif"/>
          <w:b/>
          <w:i/>
          <w:caps w:val="false"/>
          <w:smallCaps w:val="false"/>
          <w:sz w:val="20"/>
        </w:rPr>
        <w:t>EO</w:t>
      </w:r>
      <w:r>
        <w:rPr>
          <w:rFonts w:ascii="Times New Roman;Times;Serif" w:hAnsi="Times New Roman;Times;Serif"/>
          <w:b w:val="false"/>
          <w:i w:val="false"/>
          <w:caps w:val="false"/>
          <w:smallCaps w:val="false"/>
          <w:sz w:val="20"/>
        </w:rPr>
        <w:t>”) is an ordinance enacted for, among other things, the protection of the wages of employees and the regulation of the general conditions of employment and employment agencies. Under the EO, an employee is generally entitled to, among other things, notice of termination of his or her employment contract, payment in lieu of notice, maternity protection in the case of a pregnant employee, sickness allowance, statutory holidays or alternative holidays and paid annual leave.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Mandatory Provident Fund Schemes Ordinance (Chapter 485 of the Laws of Hong Kong) (the “</w:t>
      </w:r>
      <w:r>
        <w:rPr>
          <w:rFonts w:ascii="Times New Roman;Times;Serif" w:hAnsi="Times New Roman;Times;Serif"/>
          <w:b/>
          <w:i/>
          <w:caps w:val="false"/>
          <w:smallCaps w:val="false"/>
          <w:sz w:val="20"/>
        </w:rPr>
        <w:t>MPFSO</w:t>
      </w:r>
      <w:r>
        <w:rPr>
          <w:rFonts w:ascii="Times New Roman;Times;Serif" w:hAnsi="Times New Roman;Times;Serif"/>
          <w:b w:val="false"/>
          <w:i w:val="false"/>
          <w:caps w:val="false"/>
          <w:smallCaps w:val="false"/>
          <w:sz w:val="20"/>
        </w:rPr>
        <w:t>”), employers must participate in a Mandatory Provident Fund (the “</w:t>
      </w:r>
      <w:r>
        <w:rPr>
          <w:rFonts w:ascii="Times New Roman;Times;Serif" w:hAnsi="Times New Roman;Times;Serif"/>
          <w:b/>
          <w:i/>
          <w:caps w:val="false"/>
          <w:smallCaps w:val="false"/>
          <w:sz w:val="20"/>
        </w:rPr>
        <w:t>MPF</w:t>
      </w:r>
      <w:r>
        <w:rPr>
          <w:rFonts w:ascii="Times New Roman;Times;Serif" w:hAnsi="Times New Roman;Times;Serif"/>
          <w:b w:val="false"/>
          <w:i w:val="false"/>
          <w:caps w:val="false"/>
          <w:smallCaps w:val="false"/>
          <w:sz w:val="20"/>
        </w:rPr>
        <w:t>”) Scheme for employees employed under the jurisdiction of the EO. Under the MPF Scheme, generally, the employer and its employees are each required to make contributions to the plan at 5% of the employees’ relevant income, subject to a cap of monthly relevant income of HK$30,000.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Employers are also required to maintain a policy of insurance issued by an insurer for an amount not less than the applicable amount stated in the Employees’ Compensation Ordinance (Chapter 282 of the Laws of Hong Kong) (the “</w:t>
      </w:r>
      <w:r>
        <w:rPr>
          <w:rFonts w:ascii="Times New Roman;Times;Serif" w:hAnsi="Times New Roman;Times;Serif"/>
          <w:b/>
          <w:i/>
          <w:caps w:val="false"/>
          <w:smallCaps w:val="false"/>
          <w:sz w:val="20"/>
        </w:rPr>
        <w:t>ECO</w:t>
      </w:r>
      <w:r>
        <w:rPr>
          <w:rFonts w:ascii="Times New Roman;Times;Serif" w:hAnsi="Times New Roman;Times;Serif"/>
          <w:b w:val="false"/>
          <w:i w:val="false"/>
          <w:caps w:val="false"/>
          <w:smallCaps w:val="false"/>
          <w:sz w:val="20"/>
        </w:rPr>
        <w:t>”) in respect of work-related injuries. According to the ECO, the insured amount shall be not less than HK$100,000,000 per event if a company has no more than 200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Anti-competition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Ordinance (Chapter 619 of the Laws of Hong Kong) (i) prohibits conduct that prevents, restricts or distorts competition in Hong Kong; (ii) prohibits mergers that substantially lessen competition in Hong Kong; and (iii) provides for incidental and connected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conduct rule prohibits anti-competitive agreements, practices and decisions. It provides that an undertaking must not (i) make or give effect to an agreement; (ii) engage in a concerted practice; or (iii) as a member of an association of undertakings, make or give effect to a decision of the association, if the object or effect of the agreement, concerted practice or decision is to prevent, restrict or distort competition in Hong Kong. Serious anti-competitive conduct includes (i) fixing, maintaining, increasing or controlling the price for the supply of goods or services; (ii) allocating sales, territories, customers or markets for the production or supply of goods or services; (iii) fixing, maintaining, controlling, preventing, limiting or eliminating the production or supply of goods or services; and (iv) bid-rigging.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conduct rule prohibits the abuse of market power. It provides that an undertaking that has a substantial degree of market power in a market must not abuse such power by engaging in conduct that has as its object or effect the prevention, restriction or distortion of competition in Hong Kong. This conduct may in particular, constitute an abuse of such market power if it involves predatory behavior towards competitors or limiting production, markets or technical development to the prejudice of consumers. Matters that may be taken into consideration when determining whether an undertaking has a substantial degree of market power in a market include (i) the market share of the undertaking; (ii) the undertaking’s power to make pricing and other decisions; and (iii) any barriers to entry to competitors into the relevant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conduct rule and the second conduct rule apply to all sectors of the Hong Kong economy. Therefore, the Hong Kong subsidiaries’ business is subject to Competition Ordinance generally.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contravention of a competition rule, the Competition Tribunal may (i) on application by the Competition Commission, impose pecuniary penalty of any amount it considers appropriate subject to a maximum of 10% of the turnover of the undertaking concerned for each year in which the contravention occurred for each single contravention (if the contravention occurred in more than three years, 10% of the turnover of the undertaking for the three years that saw the highest, second highest and third highest turnover); (ii) on application by the Competition Commission, make an order disqualifying a person from being a director of a company or from otherwise being concerned in the affairs of a company; and (iii) make orders it considers appropriate, including but not limited to prohibiting an entity from making or giving effect to an agreement, requiring modification or termination of an agreement, requiring payment of damages to a person who has suffered loss or damage as a result of the contravention.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Data (Privacy) Ordinance (Chapter 486 of the Laws of Hong Kong) (“</w:t>
      </w:r>
      <w:r>
        <w:rPr>
          <w:rFonts w:ascii="Times New Roman;Times;Serif" w:hAnsi="Times New Roman;Times;Serif"/>
          <w:b/>
          <w:i/>
          <w:caps w:val="false"/>
          <w:smallCaps w:val="false"/>
          <w:sz w:val="20"/>
        </w:rPr>
        <w:t>PDPO</w:t>
      </w:r>
      <w:r>
        <w:rPr>
          <w:rFonts w:ascii="Times New Roman;Times;Serif" w:hAnsi="Times New Roman;Times;Serif"/>
          <w:b w:val="false"/>
          <w:i w:val="false"/>
          <w:caps w:val="false"/>
          <w:smallCaps w:val="false"/>
          <w:sz w:val="20"/>
        </w:rPr>
        <w:t>”), imposes a statutory duty on data users to comply with the requirements of the six data protection principles contained in Schedule 1 to the PDPO. The PDPO provides that a data user shall not do an act, or engage in a practice, that contravenes the six data protection principles unless the act or practice, as the case may be, is required or permitted under the PDPO. The six data protection principles are:</w:t>
      </w:r>
    </w:p>
    <w:p>
      <w:pPr>
        <w:pStyle w:val="TextBody"/>
        <w:bidi w:val="0"/>
        <w:spacing w:before="0" w:after="0"/>
        <w:ind w:left="0" w:right="0" w:firstLine="360"/>
        <w:jc w:val="both"/>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68"/>
        <w:gridCol w:w="260"/>
        <w:gridCol w:w="52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1 - purpose and manner of collection of personal data;</w:t>
            </w:r>
          </w:p>
        </w:tc>
      </w:tr>
    </w:tbl>
    <w:p>
      <w:pPr>
        <w:pStyle w:val="TextBody"/>
        <w:bidi w:val="0"/>
        <w:spacing w:before="0" w:after="0"/>
        <w:ind w:left="0" w:right="0" w:hanging="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75"/>
        <w:gridCol w:w="531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2 - accuracy and duration of retention of personal data;</w:t>
            </w:r>
          </w:p>
        </w:tc>
      </w:tr>
    </w:tbl>
    <w:p>
      <w:pPr>
        <w:pStyle w:val="TextBody"/>
        <w:bidi w:val="0"/>
        <w:spacing w:before="0" w:after="0"/>
        <w:ind w:left="0" w:right="0" w:hanging="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68"/>
        <w:gridCol w:w="260"/>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3 - use of personal data;</w:t>
            </w:r>
          </w:p>
        </w:tc>
      </w:tr>
    </w:tbl>
    <w:p>
      <w:pPr>
        <w:pStyle w:val="TextBody"/>
        <w:bidi w:val="0"/>
        <w:spacing w:before="0" w:after="0"/>
        <w:ind w:left="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68"/>
        <w:gridCol w:w="275"/>
        <w:gridCol w:w="31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4 - security of personal data;</w:t>
            </w:r>
          </w:p>
        </w:tc>
      </w:tr>
    </w:tbl>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68"/>
        <w:gridCol w:w="260"/>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5 - information to be generally available; and</w:t>
            </w:r>
          </w:p>
        </w:tc>
      </w:tr>
    </w:tbl>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30"/>
        <w:gridCol w:w="302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Principle 6 - access to personal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 data protection principle may lead to a complaint to the Privacy Commissioner for Personal Data (the “</w:t>
      </w:r>
      <w:r>
        <w:rPr>
          <w:rFonts w:ascii="Times New Roman;Times;Serif" w:hAnsi="Times New Roman;Times;Serif"/>
          <w:b/>
          <w:i/>
          <w:caps w:val="false"/>
          <w:smallCaps w:val="false"/>
          <w:sz w:val="20"/>
        </w:rPr>
        <w:t>Privacy Commissioner</w:t>
      </w:r>
      <w:r>
        <w:rPr>
          <w:rFonts w:ascii="Times New Roman;Times;Serif" w:hAnsi="Times New Roman;Times;Serif"/>
          <w:b w:val="false"/>
          <w:i w:val="false"/>
          <w:caps w:val="false"/>
          <w:smallCaps w:val="false"/>
          <w:sz w:val="20"/>
        </w:rPr>
        <w:t>”). The Privacy Commissioner may serve an enforcement notice to direct the data user to remedy the contravention and/ or instigate prosecution actions. A data user who contravenes an enforcement notice commits an offense which may lead to a fine and imprisonment.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PDPO also gives data subjects certain rights,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to be informed by a data user whether the data user holds personal data of which the individual is the data subject;</w:t>
            </w:r>
          </w:p>
        </w:tc>
      </w:tr>
    </w:tbl>
    <w:p>
      <w:pPr>
        <w:pStyle w:val="TextBody"/>
        <w:bidi w:val="0"/>
        <w:spacing w:before="0" w:after="0"/>
        <w:ind w:left="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68"/>
        <w:gridCol w:w="290"/>
        <w:gridCol w:w="624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data user holds such data, to be supplied with a copy of such data; and</w:t>
            </w:r>
          </w:p>
        </w:tc>
      </w:tr>
    </w:tbl>
    <w:p>
      <w:pPr>
        <w:pStyle w:val="TextBody"/>
        <w:bidi w:val="0"/>
        <w:spacing w:before="0" w:after="0"/>
        <w:ind w:left="0" w:right="0" w:hanging="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68"/>
        <w:gridCol w:w="350"/>
        <w:gridCol w:w="596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to request correction of any data they consider to be inaccurate.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PDPO criminalizes certain uses, including, but not limited to, the misuse or inappropriate use of personal data in direct marketing activities, non-compliance with a data access request and the unauthorized disclosure of personal data obtained without the relevant data user’s consent. An individual who suffers damage, including injured feelings, by reason of a contravention of the PDPO in relation to his or her personal data may seek compensation from the data user concerned.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Investment, Exchange Control and 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restrictions on foreign investments or foreign ownership applicable to the businesses currently conducted by our Hong Kong subsidiaries. There are also no foreign exchange controls currently in force in Hong Kong, and the Hong Kong dollar is freely convertible into other currencies. Our Hong Kong subsidiaries are not restricted in their ability to pay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Hong Kong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Inland Revenue Ordinance (Chapter 112 of the Laws of Hong Kong), where an employer commences to employ in Hong Kong an individual who is or is likely to be chargeable to tax, or any married person, the employer shall give a written notice to the Commissioner of Inland Revenue not later than three months after the date of commencement of such employment. Where an employer ceases or is about to cease to employ in Hong Kong an individual who is or is likely to be chargeable to tax, or any married person, the employer shall give a written notice to the Commissioner of Inland Revenue not later than one month before such individual ceases to be employed in 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Withholding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practice of the Inland Revenue Department of Hong Kong, no withholding tax is payable in Hong Kong in respect of dividends paid by the Hong Kong subsidiaries in 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Gains and Profit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Inland Revenue Ordinance provides, among other things, that profits tax shall be charged on every person carrying on a trade, profession or business in Hong Kong in respect of his or her assessable profits arising in or derived from Hong Kong at the standard rate at 16.5%, except for the qualifying group entity under the two-tiered profits tax regime. The two-tiered profits tax regime is applicable to years of assessment commencing on or after April 1, 2018, for which the first HK$2,000,000 of assessable profits are taxed at the rate of 8.25% and the remaining assessable profits are taxed at 16.5%. The Inland Revenue Ordinance also contains detailed provisions relating to, among other things, permissible deductions for outgoings and expenses, set-offs for losses and allowances for depreciation of capital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tax is imposed in Hong Kong in respect of capital gains from the sale of shares. However, trading gains from the sale of shares by persons carrying on a trade, profession or business in Hong Kong, where such gains are derived from or arise in Hong Kong, will be subject to Hong Kong profits tax. Certain categories of taxpayers (for example, financial institutions, insurance companies and securities dealers) are likely to be regarded as deriving trading gains rather than capital gains, unless these taxpayers can prove that the investment securities are held for long-term investment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Duty Ordinance (Chapter 117 of the Laws of Hong Kong), the Hong Kong stamp duty currently charged at the ad valorem rate of 0.1% on the higher of the consideration for or the market value of the shares, will be payable by the purchaser on every purchase and by the seller on every sale of Hong Kong shares (in other words, a total of 0.2% is currently payable on a typical sale and purchase transaction of Hong Kong shares). In addition, a fixed duty of HK$5 is currently payable on any instrument of transfer of Hong Kong shares. Where one of the parties is a resident outside Hong Kong and does not pay the ad valorem duty due by it, the duty not paid will be assessed on the instrument of transfer (if any) and will be payable by the transferee. If no stamp duty is paid on or before the due date, a penalty of up to ten times the duty payable may be imposed.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Anti-money Laundering and Counter-Terrorist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Anti-money Laundering and Counter-Terrorist Financing Ordinance (Chapter 615 of the Laws of Hong Kong) (the “</w:t>
      </w:r>
      <w:r>
        <w:rPr>
          <w:rFonts w:ascii="Times New Roman;Times;Serif" w:hAnsi="Times New Roman;Times;Serif"/>
          <w:b/>
          <w:i/>
          <w:caps w:val="false"/>
          <w:smallCaps w:val="false"/>
          <w:sz w:val="20"/>
        </w:rPr>
        <w:t>AMLO</w:t>
      </w:r>
      <w:r>
        <w:rPr>
          <w:rFonts w:ascii="Times New Roman;Times;Serif" w:hAnsi="Times New Roman;Times;Serif"/>
          <w:b w:val="false"/>
          <w:i w:val="false"/>
          <w:caps w:val="false"/>
          <w:smallCaps w:val="false"/>
          <w:sz w:val="20"/>
        </w:rPr>
        <w:t>”) imposes requirements relating to client due diligence and record-keeping and provides regulatory authorities with the powers to supervise compliance with the requirements under the AMLO. In addition, the regulatory authorities are empowered to (i) ensure that proper safeguards exist to prevent contravention of specified provisions in the AMLO; and (ii) mitigate money laundering and terrorist financing risks. Our Hong Kong subsidiaries are not subject to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Organized and Serious Crimes Ordinance (Chapter 455 of the Laws of Hong Kong) (the “</w:t>
      </w:r>
      <w:r>
        <w:rPr>
          <w:rFonts w:ascii="Times New Roman;Times;Serif" w:hAnsi="Times New Roman;Times;Serif"/>
          <w:b/>
          <w:i/>
          <w:caps w:val="false"/>
          <w:smallCaps w:val="false"/>
          <w:sz w:val="20"/>
        </w:rPr>
        <w:t>OSCO</w:t>
      </w:r>
      <w:r>
        <w:rPr>
          <w:rFonts w:ascii="Times New Roman;Times;Serif" w:hAnsi="Times New Roman;Times;Serif"/>
          <w:b w:val="false"/>
          <w:i w:val="false"/>
          <w:caps w:val="false"/>
          <w:smallCaps w:val="false"/>
          <w:sz w:val="20"/>
        </w:rPr>
        <w:t>”) empowers officers of the Hong Kong Police Force and the Hong Kong Customs &amp; Excise Department to investigate organized crime and triad activities, and confers jurisdiction on the Hong Kong courts to confiscate the proceeds of organized and serious crimes and to issue restraint orders and charging orders in relation to the property of defendants of specified offenses under the OSCO. The OSCO extends the money laundering offense to cover the proceeds from all indictable offenses.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UN United Nations (Anti-terrorism Measures) Ordinance (Chapter 575 of the Laws of Hong Kong) (the “</w:t>
      </w:r>
      <w:r>
        <w:rPr>
          <w:rFonts w:ascii="Times New Roman;Times;Serif" w:hAnsi="Times New Roman;Times;Serif"/>
          <w:b/>
          <w:i/>
          <w:caps w:val="false"/>
          <w:smallCaps w:val="false"/>
          <w:sz w:val="20"/>
        </w:rPr>
        <w:t>UNATMO</w:t>
      </w:r>
      <w:r>
        <w:rPr>
          <w:rFonts w:ascii="Times New Roman;Times;Serif" w:hAnsi="Times New Roman;Times;Serif"/>
          <w:b w:val="false"/>
          <w:i w:val="false"/>
          <w:caps w:val="false"/>
          <w:smallCaps w:val="false"/>
          <w:sz w:val="20"/>
        </w:rPr>
        <w:t>”) stipulates that it is a criminal offense to (i) provide or collect property (by any means, directly or indirectly) with the intention to, or knowledge that the property will be used to, commit, in whole or in part, one or more terrorist acts; or (ii)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video game distribution and marketing in Asia is quickly evolving, and competition is intensifying as new competitors enter the market and current competitors expand their product offerings. In order to secure licensing and distribution agreements with AAA game publishers when competing with larger, better financed companies, we may be forced to agree to contractual terms that provide for lower aggregate payments to us over the life of the distribution agreement, which could adversely affect our margins. Our failure to compete effectively for the distribution right for “hit” game titles could have a material adverse effect on our business, prospects, financial condition or future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video game distribution business, we face competition primarily from other games and interactive entertainment companies, that range in size and cost structures from small, little known local or regional distributors with limited resources to very large with greater financial, marketing, technical and other resources than ours, such as Electronic Arts Inc. and Activision Blizzard, Inc. Small business competitors may be able to offer more cost competitive solutions for video game distributions, due to their lower overhead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game publishing business, we face competition from large developer and marketer of interactive entertainment software companies, such as Tencent Games, NetEase Games, Sega and Sony Interactive Entertainment, that have the financial resources to withstand significant price competition, implement extensive advertising campaigns, and utilize their substantially greater resources and economies of scale to develop competing video games and divert sales away from our games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interactive entertainment software industry is based on innovation, features, playability, product quality, brand name recognition, compatibility with popular platforms, access to distribution channels, price, marketing, and customer service. Our business is driven by the number of hit game titles we sell, distribute and publish, which require increasing budgets for development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compete effectively and strategically grow our business by focusing on (i) our ability to develop original content and new games as well as by continuing to enhance our existing services to keep pace with user preferences and demands, and (ii) expanding our best-selling games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licensing and protection of intellectual property rights of the video games we distribute that are retained by the publishers. We also try to protect our software and production techniques under copyright and trademark and trade secret laws as well as through contractual restrictions on disclosure, copying and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 has the following registered trademark in Singapore:</w:t>
      </w:r>
    </w:p>
    <w:p>
      <w:pPr>
        <w:pStyle w:val="TextBody"/>
        <w:bidi w:val="0"/>
        <w:spacing w:before="0" w:after="0"/>
        <w:ind w:left="0" w:right="0" w:hanging="0"/>
        <w:jc w:val="both"/>
        <w:rPr>
          <w:caps w:val="false"/>
          <w:smallCaps w:val="false"/>
        </w:rPr>
      </w:pPr>
      <w:r>
        <w:rPr>
          <w:caps w:val="false"/>
          <w:smallCaps w:val="false"/>
        </w:rPr>
        <w:t> </w:t>
      </w:r>
    </w:p>
    <w:tbl>
      <w:tblPr>
        <w:tblW w:w="6930" w:type="dxa"/>
        <w:jc w:val="left"/>
        <w:tblInd w:w="0" w:type="dxa"/>
        <w:tblLayout w:type="fixed"/>
        <w:tblCellMar>
          <w:top w:w="0" w:type="dxa"/>
          <w:left w:w="0" w:type="dxa"/>
          <w:bottom w:w="28" w:type="dxa"/>
          <w:right w:w="0" w:type="dxa"/>
        </w:tblCellMar>
      </w:tblPr>
      <w:tblGrid>
        <w:gridCol w:w="1815"/>
        <w:gridCol w:w="90"/>
        <w:gridCol w:w="90"/>
        <w:gridCol w:w="1370"/>
        <w:gridCol w:w="90"/>
        <w:gridCol w:w="90"/>
        <w:gridCol w:w="1535"/>
        <w:gridCol w:w="90"/>
        <w:gridCol w:w="90"/>
        <w:gridCol w:w="1535"/>
        <w:gridCol w:w="135"/>
      </w:tblGrid>
      <w:tr>
        <w:trPr/>
        <w:tc>
          <w:tcPr>
            <w:tcW w:w="181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No.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Date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Expiry Date</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15" w:type="dxa"/>
            <w:tcBorders/>
            <w:tcMar>
              <w:bottom w:w="0" w:type="dxa"/>
            </w:tcMar>
            <w:vAlign w:val="center"/>
          </w:tcPr>
          <w:p>
            <w:pPr>
              <w:pStyle w:val="TableContents"/>
              <w:bidi w:val="0"/>
              <w:spacing w:before="0" w:after="283"/>
              <w:jc w:val="left"/>
              <w:rPr>
                <w:caps w:val="false"/>
                <w:smallCaps w:val="false"/>
                <w:color w:val="FF0000"/>
              </w:rPr>
            </w:pPr>
            <w:r>
              <w:rPr>
                <w:caps w:val="false"/>
                <w:smallCaps w:val="false"/>
                <w:color w:val="FF0000"/>
              </w:rPr>
              <w:drawing>
                <wp:inline distT="0" distB="0" distL="0" distR="0">
                  <wp:extent cx="1123950" cy="1123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23950" cy="1123950"/>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40202103658T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15, 2031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TDM has the following three registered trademarks in Singapore:</w:t>
      </w:r>
    </w:p>
    <w:p>
      <w:pPr>
        <w:pStyle w:val="TextBody"/>
        <w:bidi w:val="0"/>
        <w:spacing w:before="0" w:after="0"/>
        <w:ind w:left="360" w:right="0" w:hanging="0"/>
        <w:jc w:val="both"/>
        <w:rPr>
          <w:caps w:val="false"/>
          <w:smallCaps w:val="false"/>
        </w:rPr>
      </w:pPr>
      <w:r>
        <w:rPr>
          <w:caps w:val="false"/>
          <w:smallCaps w:val="false"/>
        </w:rPr>
        <w:t> </w:t>
      </w:r>
    </w:p>
    <w:tbl>
      <w:tblPr>
        <w:tblW w:w="6930" w:type="dxa"/>
        <w:jc w:val="left"/>
        <w:tblInd w:w="0" w:type="dxa"/>
        <w:tblLayout w:type="fixed"/>
        <w:tblCellMar>
          <w:top w:w="0" w:type="dxa"/>
          <w:left w:w="0" w:type="dxa"/>
          <w:bottom w:w="28" w:type="dxa"/>
          <w:right w:w="0" w:type="dxa"/>
        </w:tblCellMar>
      </w:tblPr>
      <w:tblGrid>
        <w:gridCol w:w="1725"/>
        <w:gridCol w:w="90"/>
        <w:gridCol w:w="90"/>
        <w:gridCol w:w="1370"/>
        <w:gridCol w:w="90"/>
        <w:gridCol w:w="90"/>
        <w:gridCol w:w="1700"/>
        <w:gridCol w:w="90"/>
        <w:gridCol w:w="90"/>
        <w:gridCol w:w="1460"/>
        <w:gridCol w:w="135"/>
      </w:tblGrid>
      <w:tr>
        <w:trPr/>
        <w:tc>
          <w:tcPr>
            <w:tcW w:w="1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No.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Date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Expiry Date</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5" w:type="dxa"/>
            <w:tcBorders/>
            <w:tcMar>
              <w:bottom w:w="0" w:type="dxa"/>
            </w:tcMar>
            <w:vAlign w:val="center"/>
          </w:tcPr>
          <w:p>
            <w:pPr>
              <w:pStyle w:val="TableContents"/>
              <w:bidi w:val="0"/>
              <w:spacing w:before="0" w:after="283"/>
              <w:jc w:val="left"/>
              <w:rPr>
                <w:caps w:val="false"/>
                <w:smallCaps w:val="false"/>
                <w:color w:val="FF0000"/>
              </w:rPr>
            </w:pPr>
            <w:r>
              <w:rPr>
                <w:caps w:val="false"/>
                <w:smallCaps w:val="false"/>
                <w:color w:val="FF0000"/>
              </w:rPr>
              <w:drawing>
                <wp:inline distT="0" distB="0" distL="0" distR="0">
                  <wp:extent cx="638175"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8175" cy="69532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40202008815V</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November 26, 2020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2030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25" w:type="dxa"/>
            <w:tcBorders/>
            <w:tcMar>
              <w:bottom w:w="0"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066800" cy="523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66800" cy="523875"/>
                          </a:xfrm>
                          <a:prstGeom prst="rect">
                            <a:avLst/>
                          </a:prstGeom>
                        </pic:spPr>
                      </pic:pic>
                    </a:graphicData>
                  </a:graphic>
                </wp:inline>
              </w:drawing>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40201923456S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25, 2029</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710"/>
        <w:gridCol w:w="90"/>
        <w:gridCol w:w="90"/>
        <w:gridCol w:w="1340"/>
        <w:gridCol w:w="90"/>
        <w:gridCol w:w="90"/>
        <w:gridCol w:w="1565"/>
        <w:gridCol w:w="90"/>
        <w:gridCol w:w="90"/>
        <w:gridCol w:w="1460"/>
        <w:gridCol w:w="135"/>
      </w:tblGrid>
      <w:tr>
        <w:trPr/>
        <w:tc>
          <w:tcPr>
            <w:tcW w:w="1710" w:type="dxa"/>
            <w:tcBorders/>
            <w:vAlign w:val="center"/>
          </w:tcPr>
          <w:p>
            <w:pPr>
              <w:pStyle w:val="TableContents"/>
              <w:bidi w:val="0"/>
              <w:spacing w:before="0" w:after="283"/>
              <w:jc w:val="left"/>
              <w:rPr>
                <w:caps w:val="false"/>
                <w:smallCaps w:val="false"/>
                <w:color w:val="FF0000"/>
              </w:rPr>
            </w:pPr>
            <w:r>
              <w:rPr>
                <w:caps w:val="false"/>
                <w:smallCaps w:val="false"/>
                <w:color w:val="FF0000"/>
              </w:rPr>
              <w:drawing>
                <wp:inline distT="0" distB="0" distL="0" distR="0">
                  <wp:extent cx="1057275" cy="1028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57275" cy="1028700"/>
                          </a:xfrm>
                          <a:prstGeom prst="rect">
                            <a:avLst/>
                          </a:prstGeom>
                        </pic:spPr>
                      </pic:pic>
                    </a:graphicData>
                  </a:graphic>
                </wp:inline>
              </w:drawing>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40202259168G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26, 2032</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 Labs has the following registered trademarks in Singapore:  </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1815"/>
        <w:gridCol w:w="200"/>
        <w:gridCol w:w="200"/>
        <w:gridCol w:w="1400"/>
        <w:gridCol w:w="140"/>
        <w:gridCol w:w="140"/>
        <w:gridCol w:w="1565"/>
        <w:gridCol w:w="140"/>
        <w:gridCol w:w="140"/>
        <w:gridCol w:w="1430"/>
        <w:gridCol w:w="135"/>
      </w:tblGrid>
      <w:tr>
        <w:trPr/>
        <w:tc>
          <w:tcPr>
            <w:tcW w:w="181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Mark</w:t>
            </w:r>
            <w:r>
              <w:rPr>
                <w:rFonts w:ascii="Times New Roman;Times;Serif" w:hAnsi="Times New Roman;Times;Serif"/>
                <w:sz w:val="20"/>
              </w:rPr>
              <w:t>  </w:t>
            </w:r>
          </w:p>
        </w:tc>
        <w:tc>
          <w:tcPr>
            <w:tcW w:w="20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center"/>
              <w:rPr/>
            </w:pPr>
            <w:r>
              <w:rPr/>
              <w:t>  </w:t>
            </w:r>
          </w:p>
        </w:tc>
        <w:tc>
          <w:tcPr>
            <w:tcW w:w="14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Trademark No.</w:t>
            </w:r>
            <w:r>
              <w:rPr>
                <w:rFonts w:ascii="Times New Roman;Times;Serif" w:hAnsi="Times New Roman;Times;Serif"/>
                <w:sz w:val="20"/>
              </w:rPr>
              <w:t> </w:t>
            </w:r>
          </w:p>
        </w:tc>
        <w:tc>
          <w:tcPr>
            <w:tcW w:w="140" w:type="dxa"/>
            <w:tcBorders/>
            <w:tcMar>
              <w:bottom w:w="0" w:type="dxa"/>
            </w:tcMar>
            <w:vAlign w:val="center"/>
          </w:tcPr>
          <w:p>
            <w:pPr>
              <w:pStyle w:val="TableContents"/>
              <w:bidi w:val="0"/>
              <w:spacing w:before="0" w:after="283"/>
              <w:jc w:val="center"/>
              <w:rPr/>
            </w:pPr>
            <w:r>
              <w:rPr/>
              <w:t>  </w:t>
            </w:r>
          </w:p>
        </w:tc>
        <w:tc>
          <w:tcPr>
            <w:tcW w:w="14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Registration Date</w:t>
            </w:r>
            <w:r>
              <w:rPr>
                <w:rFonts w:ascii="Times New Roman;Times;Serif" w:hAnsi="Times New Roman;Times;Serif"/>
                <w:sz w:val="20"/>
              </w:rPr>
              <w:t> </w:t>
            </w:r>
          </w:p>
        </w:tc>
        <w:tc>
          <w:tcPr>
            <w:tcW w:w="140" w:type="dxa"/>
            <w:tcBorders/>
            <w:tcMar>
              <w:bottom w:w="0" w:type="dxa"/>
            </w:tcMar>
            <w:vAlign w:val="center"/>
          </w:tcPr>
          <w:p>
            <w:pPr>
              <w:pStyle w:val="TableContents"/>
              <w:bidi w:val="0"/>
              <w:spacing w:before="0" w:after="283"/>
              <w:jc w:val="center"/>
              <w:rPr/>
            </w:pPr>
            <w:r>
              <w:rPr/>
              <w:t>  </w:t>
            </w:r>
          </w:p>
        </w:tc>
        <w:tc>
          <w:tcPr>
            <w:tcW w:w="140" w:type="dxa"/>
            <w:tcBorders/>
            <w:tcMar>
              <w:bottom w:w="0" w:type="dxa"/>
            </w:tcMar>
            <w:vAlign w:val="center"/>
          </w:tcPr>
          <w:p>
            <w:pPr>
              <w:pStyle w:val="TableContents"/>
              <w:bidi w:val="0"/>
              <w:spacing w:before="0" w:after="283"/>
              <w:jc w:val="center"/>
              <w:rPr/>
            </w:pPr>
            <w:r>
              <w:rPr/>
              <w:t>  </w:t>
            </w:r>
          </w:p>
        </w:tc>
        <w:tc>
          <w:tcPr>
            <w:tcW w:w="14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Expiry Date</w:t>
            </w:r>
            <w:r>
              <w:rPr>
                <w:rFonts w:ascii="Times New Roman;Times;Serif" w:hAnsi="Times New Roman;Times;Serif"/>
                <w:sz w:val="20"/>
              </w:rPr>
              <w:t> </w:t>
            </w:r>
          </w:p>
        </w:tc>
        <w:tc>
          <w:tcPr>
            <w:tcW w:w="135" w:type="dxa"/>
            <w:tcBorders/>
            <w:tcMar>
              <w:bottom w:w="0" w:type="dxa"/>
            </w:tcMar>
            <w:vAlign w:val="center"/>
          </w:tcPr>
          <w:p>
            <w:pPr>
              <w:pStyle w:val="TableContents"/>
              <w:bidi w:val="0"/>
              <w:spacing w:before="0" w:after="283"/>
              <w:jc w:val="left"/>
              <w:rPr/>
            </w:pPr>
            <w:r>
              <w:rPr/>
              <w:t> </w:t>
            </w:r>
          </w:p>
        </w:tc>
      </w:tr>
      <w:tr>
        <w:trPr/>
        <w:tc>
          <w:tcPr>
            <w:tcW w:w="1815" w:type="dxa"/>
            <w:tcBorders/>
            <w:tcMar>
              <w:bottom w:w="0" w:type="dxa"/>
            </w:tcMar>
            <w:vAlign w:val="center"/>
          </w:tcPr>
          <w:p>
            <w:pPr>
              <w:pStyle w:val="TableContents"/>
              <w:bidi w:val="0"/>
              <w:spacing w:before="0" w:after="283"/>
              <w:jc w:val="both"/>
              <w:rPr/>
            </w:pPr>
            <w:r>
              <w:rPr/>
              <w:drawing>
                <wp:inline distT="0" distB="0" distL="0" distR="0">
                  <wp:extent cx="1123950" cy="1066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23950" cy="1066800"/>
                          </a:xfrm>
                          <a:prstGeom prst="rect">
                            <a:avLst/>
                          </a:prstGeom>
                        </pic:spPr>
                      </pic:pic>
                    </a:graphicData>
                  </a:graphic>
                </wp:inline>
              </w:drawing>
            </w:r>
          </w:p>
        </w:tc>
        <w:tc>
          <w:tcPr>
            <w:tcW w:w="20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T0319337H </w:t>
            </w:r>
          </w:p>
        </w:tc>
        <w:tc>
          <w:tcPr>
            <w:tcW w:w="140" w:type="dxa"/>
            <w:tcBorders/>
            <w:tcMar>
              <w:bottom w:w="0" w:type="dxa"/>
            </w:tcMar>
            <w:vAlign w:val="center"/>
          </w:tcPr>
          <w:p>
            <w:pPr>
              <w:pStyle w:val="TableContents"/>
              <w:bidi w:val="0"/>
              <w:spacing w:before="0" w:after="283"/>
              <w:jc w:val="center"/>
              <w:rPr/>
            </w:pPr>
            <w:r>
              <w:rPr/>
              <w:t>  </w:t>
            </w:r>
          </w:p>
        </w:tc>
        <w:tc>
          <w:tcPr>
            <w:tcW w:w="14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22, 2003  </w:t>
            </w:r>
          </w:p>
        </w:tc>
        <w:tc>
          <w:tcPr>
            <w:tcW w:w="140" w:type="dxa"/>
            <w:tcBorders/>
            <w:tcMar>
              <w:bottom w:w="0" w:type="dxa"/>
            </w:tcMar>
            <w:vAlign w:val="center"/>
          </w:tcPr>
          <w:p>
            <w:pPr>
              <w:pStyle w:val="TableContents"/>
              <w:bidi w:val="0"/>
              <w:spacing w:before="0" w:after="283"/>
              <w:jc w:val="center"/>
              <w:rPr/>
            </w:pPr>
            <w:r>
              <w:rPr/>
              <w:t>  </w:t>
            </w:r>
          </w:p>
        </w:tc>
        <w:tc>
          <w:tcPr>
            <w:tcW w:w="14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22, 2033 </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approximately 331, 162 and 106 full-time employees as of March 31, 2026, 2025 and 2024, respectively. The steady growth of our head-count was primarily due to expansion in Operations and Sales and Marketing as we grew our business and operations as a public company and as a result of our acquisition of Ban Leong. The 331 full-time employees we had as of March 31, 2026 consisted of 300 in Asia Pacific (including 169 in Singapore, 58 in Malaysia, 51 in Thailand, 9 in Hong Kong, 5 in China, 4 in Bangladesh, 3 in Japan, and 1 in Indonesia), 19 in Europe, and 12 in other parts of the world, carrying out the following primary functions:</w:t>
      </w:r>
    </w:p>
    <w:p>
      <w:pPr>
        <w:pStyle w:val="TextBody"/>
        <w:bidi w:val="0"/>
        <w:spacing w:before="0" w:after="0"/>
        <w:ind w:left="0" w:right="0" w:firstLine="36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620"/>
        <w:gridCol w:w="90"/>
        <w:gridCol w:w="90"/>
        <w:gridCol w:w="410"/>
        <w:gridCol w:w="135"/>
      </w:tblGrid>
      <w:tr>
        <w:trPr/>
        <w:tc>
          <w:tcPr>
            <w:tcW w:w="3620" w:type="dxa"/>
            <w:tcBorders/>
            <w:shd w:fill="CCEEFF" w:val="clear"/>
            <w:vAlign w:val="center"/>
          </w:tcPr>
          <w:p>
            <w:pPr>
              <w:pStyle w:val="TableContents"/>
              <w:bidi w:val="0"/>
              <w:spacing w:before="0" w:after="283"/>
              <w:jc w:val="left"/>
              <w:rPr/>
            </w:pPr>
            <w:r>
              <w:rPr/>
              <w:t>Media Production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7</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Content Development and Publishing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4</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113</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Sales and Marketing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134</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Finance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34</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Management and Administration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331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Group seeks to hire and develop employees who are dedicated to our strategic mission. Over the next twelve months, we intend to continue to hire a significant number of additional personnel across a variety of functions including, but not limited to, sales and marketing, research and development, content design and creation, video production, and operations to support of our anticipated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equitable compensation programs including equity participation. We offer market-competitive salaries aimed at attracting and retaining team members capable of making exceptional contributions to our success. Our compensation decisions are guided by the external market, role criticality, and the contributions of each team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work stoppages and we consider our relationship with our employees to be good. None of our employees are either represented by a labor union or subject to a collective bargaining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Group’s corporate headquarters are located at 29 Tai Seng Avenue #02-01, Singapore 534119. The term of the lease is through March 31, 2028. Together with other properties (including our Chairman’s residence which also serves as his office), our leases total over 6,252 square meters in Singapore. As of the date of this report, GCL Group also has leased office facilities in Hong Kong, China, Dubai, Japan, Brazil, Thailand and Malaysia, totaling over 4,892 square meters. 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10400" cy="7696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010400" cy="7696200"/>
                    </a:xfrm>
                    <a:prstGeom prst="rect">
                      <a:avLst/>
                    </a:prstGeom>
                  </pic:spPr>
                </pic:pic>
              </a:graphicData>
            </a:graphic>
          </wp:inline>
        </w:drawing>
      </w: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entities abbreviated in chart: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30"/>
        <w:gridCol w:w="90"/>
        <w:gridCol w:w="1904"/>
        <w:gridCol w:w="90"/>
        <w:gridCol w:w="1701"/>
        <w:gridCol w:w="90"/>
        <w:gridCol w:w="4500"/>
      </w:tblGrid>
      <w:tr>
        <w:trPr/>
        <w:tc>
          <w:tcPr>
            <w:tcW w:w="1830"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9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904"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9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701"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9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450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r>
      <w:tr>
        <w:trPr/>
        <w:tc>
          <w:tcPr>
            <w:tcW w:w="18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Limited</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 Limited</w:t>
            </w:r>
          </w:p>
        </w:tc>
      </w:tr>
      <w:tr>
        <w:trPr/>
        <w:tc>
          <w:tcPr>
            <w:tcW w:w="1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Brazil</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Game Pro Ltda.</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 Sdn. Bhd.</w:t>
            </w:r>
          </w:p>
        </w:tc>
      </w:tr>
      <w:tr>
        <w:trPr/>
        <w:tc>
          <w:tcPr>
            <w:tcW w:w="18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Dubai</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DMCC</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SG</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Pte. Ltd.</w:t>
            </w:r>
          </w:p>
        </w:tc>
      </w:tr>
      <w:tr>
        <w:trPr/>
        <w:tc>
          <w:tcPr>
            <w:tcW w:w="1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Pte. Ltd.</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 Co., Ltd.</w:t>
            </w:r>
          </w:p>
        </w:tc>
      </w:tr>
      <w:tr>
        <w:trPr/>
        <w:tc>
          <w:tcPr>
            <w:tcW w:w="18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Hong Kong</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HK Ltd.</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 Technology Co. Ltd.</w:t>
            </w:r>
          </w:p>
        </w:tc>
      </w:tr>
      <w:tr>
        <w:trPr/>
        <w:tc>
          <w:tcPr>
            <w:tcW w:w="1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 Ltd.</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 Pte. Ltd.</w:t>
            </w:r>
          </w:p>
        </w:tc>
      </w:tr>
      <w:tr>
        <w:trPr/>
        <w:tc>
          <w:tcPr>
            <w:tcW w:w="18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JP</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Japan Ltd.</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 Pte. Ltd.</w:t>
            </w:r>
          </w:p>
        </w:tc>
      </w:tr>
      <w:tr>
        <w:trPr/>
        <w:tc>
          <w:tcPr>
            <w:tcW w:w="1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 Pte. Ltd.</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Shanghai</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Universe (Shanghai) Technology Co., Ltd.</w:t>
            </w:r>
          </w:p>
        </w:tc>
      </w:tr>
      <w:tr>
        <w:trPr/>
        <w:tc>
          <w:tcPr>
            <w:tcW w:w="18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 Pte. Ltd.</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Hangzhou</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Interactive (Hangzhou) Technology Co., Ltd.</w:t>
            </w:r>
          </w:p>
        </w:tc>
      </w:tr>
      <w:tr>
        <w:trPr/>
        <w:tc>
          <w:tcPr>
            <w:tcW w:w="183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04"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 Pte.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Group’s corporate headquarters are located at 29 Tai Seng Avenue #02-01, Singapore 534119. The term of the lease is through March 31, 2028. Together with other properties (including our Chairman’s residence which also serves as his office), our leases total over 6,252 square meters in Singapore. As of the date of this report, GCL Group also has leased office facilities in Hong Kong, China, Dubai, Japan, Brazil, Thailand and Malaysia, totaling over 4,892 square meters. 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report, as used herein, and unless the context suggests otherwise, the terms “GCL”, “we,” “us,” or “our,” refer to the combined business of GCL Global Limited and its subsidiaries. References to “dollar” and “$” are to U.S. dollars, the lawful currency of the United States. References to “SEC” are to the Securities and Exchange Commission. The following discussion and analysis of our financial condition and results of operations should be read in conjunction with our consolidated financial statements that appear in this annual report.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in “Risk Factors.” All amounts in included in the fiscal years ended March 31, 2026, 2025, and 2024(“Annual Financial Statements”) are derived from our audited consolidated financial statements included elsewhere in this annual report. These Annual Financial Statements have been prepared in accordance with U.S. Generally Accepted Accounting Principles,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is a holding company incorporated as an exempted company under the laws of the Cayman Islands and conducts all of its operations through subsidiaries in Singapore, Hong Kong, Malaysia, China, the United Kingdom, Japan, Brazil, Thailand, Taiwan and the United Arab Emirates. As our businesses operate across multiple jurisdictions and transact in various currencies, while our consolidated financial statements are presented in U.S. dollars, movements in foreign exchange rates may affect our reported revenues, costs, assets, liabilities, cash flows and operating results. Such movements may also result in differences between the underlying performance of our businesses in their respective functional currencies and the amounts reported in our consolidated financial statements. We monitor our foreign currency exposures arising from operating transactions, intercompany balances, receivables, payables and funding arrangements, and seek to manage these exposures through natural offsets, alignment of settlement currencies and appropriate pricing, procurement and treasury practices.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integrated games, entertainment and technology products group engaged in the marketing, distribution, publishing and development of video games and other entertainment content across Asia, Europe, the United States and Latin America. Following our acquisition of Ban Leong Technologies Limited in May 2025, we expanded our business into the distribution of IT hardware, computer accessories, gaming components, peripherals, data storage devices, smart technology and other consumer technology products across Singapore, Malaysia and Thailand. We sell and distribute to retailers and consumers in Asia physical and digital copies of video games through physical retailers, such as Sony PlayStation stores in Japan, as well as online channels in Singapore, Hong Kong, Malaysia, Japan, South Korea, Taiwan, Thailand, Indonesia, the Philippines and other Asian countries. Over 95.8%, 86.8%, and 93.3% of our total consolidated revenue for the years ended March 31, 2026, 2025, and 2024, respectively, was derived from the sale of console game, hardware, and accessories. Such revenue primarily consisted of sales of physical games for consoles such as Sony PlayStation, Microsoft Xbox, Nintendo Switch, and PCs to retailers, sales of hardware, computer accessories, and other multimedia products across various product categories, as well as game codes delivered electronically to retailers or end-users via email or download.  We also have our own production studio and an advertising agency, providing media and content advertising services for small and medium-sized enterprises (the “SMEs”) and government agencies. In September 2022, we formed a subsidiary dedicated to our game publishing business investing in upcoming game titles as either a publisher or a co-publisher for the global market. In May 2025, we acquired Ban Leong Technologies Limited (“Ban Leong”), a leading Singapore-based distributor of IT hardware, gaming components, and smart technology, with operations across Singapore, Malaysia, and 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from (i) distribution and sale of console game, hardware, computer accessories and other multimedia products including data storage devices; (ii) game publishing; (iii) media advertising services; and (iv) others. The total revenue increased by $96.8 million, or 68.2% to approximately $238.9 million for the year ended March 31, 2026 from approximately $142.1 million for the same period in 2025. This increase in revenue was primarily attributable to the approximately $105.6 million increased sales from console game, hardware, computer accessories, other multimedia products and offset by a decrease of approximately $8.9 million in game publishing revenue. The total revenue increased by $44.5 million, or 45.7%, to approximately $142.1 million for the year ended March 31, 2025 from approximately $97.5 million for the same period in 2024. This increase in revenue was primarily attributable to the approximately $32.2 million increased sales from console game, hardware, and accessories and increase of approximately $12.6 million in game publishing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Affect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results of operations have been, and are expected to continue to be, affected by a number of factors, which primarily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arrangements with game publishers and studios to sell “hit” game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revenue primarily from sales to retailers and consumers of console games and game codes and distributing gaming content that are compatible with major gaming consoles and PCs to resellers. We sold 34, 50 and 51 new game titles in addition to back catalog games during the fiscal year ended March 31, 2026, 2025 and 2024, respectively. We have forged multi-year distribution deals with international video game publishers and studios to sell selected game titles within certain territories in Asia. We have sold more than 17.9 million of physical and digital copies of video games during the past three fiscal years. Our success will continue to depend on our ability to obtain the distribution rights for “hit” game titles which can create sequels and incremental revenue opportunities through add-on content and merchandise. The success of the games we distribute also depends, in part, on unpredictable and constantly changing factors beyond our control including consumer preferences and spending habits, competing games and the availability of other entertainment experiences. Our ability to negotiate with resellers and platform partners, and to add sales channels in territories outside of the countries we currently distribute games can determine our continued success in the game distribution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computer accessories and consumer electronics products in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 Leong Technologies Limited (“Ban Leong”) serves as an authorized distributor for major brands of hardware, computer accessories and other multi-media products. The acquisition of Ban Leong contributed approximately $124.4 million of revenue from sales of hardware, computer accessories and other multi-media products for the year ended March 31, 2026. We sell IT, computer accessories and consumer electronics products through multiple channels including, e-commerce platforms, retail and chain stores, and direct sales to corporate resellers/system integrators. Failure in our inventory management systems, labor shortages, warehouse incidents, supply chain interruptions or shipping constraints could impair our ability to distribute products on a timely and cost-effective basis, reduce our sales, hurt our relationships with vendors, channels and customers, and harm our reputation. Success of our hardware and accessories business will also continue to depend, in part, on factors outside of our control including, consumer preferences and spending habits, rapid technological change and the availability of other computer hardware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in the game publishing business and game IP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was formed in 2022 as a Group Subsidiary dedicated to games publishing and game IP development. We derive our publishing revenue primarily from digital sales of games sold on Valve’s Steam, Microsoft’s Xbox and Sony’s PlayStation platforms. At this time of this Report, 4Divinity has either published or co-published more than 15 game titles. Our success in growing the game publishing business will depend on our ability to identify global game designing talents, and partner with game developers, publishers, and brand owners to create original content and entertainment properties. We also plan to develop a large and diversified library of game titles that would come from internally developed game IP. Our success in developing our own game IP will also depend on our ability to raise adequate funding required for the development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Risks associated with operating and investing in multiple countries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significant portion of revenue from our operations in Asia. In November 2025, we also formed a wholly-owned subsidiary in Taiwan. Between April and June, 2026, we also formed two more indirect wholly-owned subsidiaries in China. We are subject to differing and changing legal requirements relating to customs, consumer protection, data privacy, employment, tax, foreign exchange and other local regulations of the multiple countries in which we operate. In addition, we are subject to risks related to their economic, political, and social conditions. As we continue to develop and expand our business in Asia as well as outside of Asia, we expect our general and administrative expenses, including professional fees and legal compliance costs, to increase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Ban Leong Technologies Ltd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Epicsoft Asia made a voluntary conditional cash offer (the “Offer”) of S$0.6029 per share (approximately US$0.4580 per share) to acquire all of the issued and paid-up ordinary shares in the capital of Ban Leong Technologies Limited (“Ban Leong”), a Singaporean company listed on the Singapore Exchange Securities Trading Limited (“SGX-ST”). The Offer became unconditional on May 27, 2025 when Epicsoft Asia received valid acceptances representing approximately 50.9% of Ban Leong’s total issued share capital, at which time the Company obtained control of Ban Leong and the business combination was deemed consummated. Ban Leong was officially delisted from the SGX-ST effective August 26, 2025. As of March 31, 2026, Ban Leong is a wholly-owned subsidiary of Epicsoft Asia. Cash consideration of the Offer was financed through a combination of an approximately $38.7 million secured term loan facility provided by The Hongkong and Shanghai Banking Corporation Limited, Singapore Branch (the “HSBC term loan facility”) and approximately $10.0 million cash on hand from the Company. The HSBC term loan facility is secured by all assets of GCL Global Pte Ltd, has a five-year term, bears a floating interest rate ranging between 2.5% and 7.5%, and requires quarterly repayments, with the final installment due in May 2030.</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ATW SPA, Registration Rights Agreement, Exchange Agreement, and April 2026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2025, the Company entered into a securities purchase agreement (the “ATW SPA”) with ATW Partners (the “Investor”) for the issuance of senior unsecured convertible notes (the “Notes”), through a facility of up to $45.5 million. Pursuant to the ATW SPA, the Company has issued and sold to the Investor an initial note in the aggregate original principal amount of $2,900,000, at a purchase price of $2,610,000 on May 22, 2025. Pursuant to the ATW SPA, as amended on August 26, 2025, the Company has issued and sold to the Investor additional Notes in the aggregate original principal amount of $2,530,000, at a purchase price of $2,277,000. The Notes had a three-year term and bore interest at 6% per annum, payable monthly, at GCL’s option, in cash or, provided that certain conditions were met, in ordinary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redeemed, in part, the then-outstanding Notes for approximately $3.18 million pursuant to the terms of the Notes. The Parties also entered into that certain Amendment, Waiver and Exchange Agreement (the “Exchange Agreement”), pursuant to which, the remaining balance of the Notes was exchanged for a warrant to purchase 1,125,000 ordinary shares at an initial exercise price of $8.00 per share, subject to full-ratchet anti-dilution adjustments and other price protections in the event of, among other things, a reverse stock split or share combination (the “April 2026 Warrant”) in reliance on the exemption from registration provided by Section 3(a)(9) of the Securities Act. The Parties have also agreed to, among other things, waive any right to consummate any additional closing or cause the Company to issue additional notes, pursuant to the terms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 subscription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4Divinity SG entered into share subscription agreements with ADATA Technology Co., Ltd., a Taiwanese company that is also a leader in memory and storage solutions, between October 2025 and July 2026, pursuant to which ADATA has purchased newly issued ordinary shares of 4Divinity SG, representing an aggregate of approximately 10.2% of outstanding equity interests of 4Divinity SG, for $32,000,000.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Nekcom Series B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Share Purchase Agreement between GCL Global and an accredited investor, dated March 10, 2026, GCL Global sold 306,250 of the 12,250,000 shares of Nekcom Series B Preferred Stock (“Nekcom Series B Shares”) it held to the buyer for $1,000,000. Buyer will have the right, but not the obligation, to sell back to GCL Global any or all of these 306,250 Nekcom Series B Preferred Shares at two times the original purchase price per share during the first six months following the official release of the game </w:t>
      </w:r>
      <w:r>
        <w:rPr>
          <w:rFonts w:ascii="Times New Roman;Times;Serif" w:hAnsi="Times New Roman;Times;Serif"/>
          <w:b w:val="false"/>
          <w:i/>
          <w:caps w:val="false"/>
          <w:smallCaps w:val="false"/>
          <w:sz w:val="20"/>
        </w:rPr>
        <w:t xml:space="preserve">Showa American Story. </w:t>
      </w:r>
      <w:r>
        <w:rPr>
          <w:rFonts w:ascii="Times New Roman;Times;Serif" w:hAnsi="Times New Roman;Times;Serif"/>
          <w:b w:val="false"/>
          <w:i w:val="false"/>
          <w:caps w:val="false"/>
          <w:smallCaps w:val="false"/>
          <w:sz w:val="20"/>
        </w:rPr>
        <w:t xml:space="preserve">In the event that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is not officially launched on or before June 30, 2028, buyer will have the right to demand GCL Global to buy back these 306,250 Nekcom Series B Preferred Shares at a price equal to the original purchase price plus 10%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Establishment of two indirect wholly-owned subsidiaries 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incorporated Shenfang Universe (Shanghai) Technology Co., Ltd., an indirect wholly owned subsidiary organized under the laws of the People’s Republic of China (“PRC”). Shenfang Shanghai was established to facilitate anticipated business activities and future commercial operations in the Shanghai region.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incorporated Shenfang Interactive (Hangzhou) Technology Co., Ltd. (“Shenfang Hangzhou”), an indirect wholly owned subsidiary organized under the laws of the PRC. Shenfang Hangzhou was established to facilitate anticipated business activities and future commercial operations in the Hangzhou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Metric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regularly reviews the operating metric to evaluate our business, measure our performance, identify trends, formulate financial projections and make strategic decisions. The main metric we consider, and our results for the years ended March 31, 2026, 2025 and 2024, are set forth in the tables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game copies sold in physical form and digital form:</w:t>
      </w:r>
    </w:p>
    <w:p>
      <w:pPr>
        <w:pStyle w:val="TextBody"/>
        <w:bidi w:val="0"/>
        <w:spacing w:before="0" w:after="0"/>
        <w:ind w:left="0" w:right="0" w:firstLine="360"/>
        <w:jc w:val="both"/>
        <w:rPr>
          <w:caps w:val="false"/>
          <w:smallCaps w:val="false"/>
        </w:rPr>
      </w:pPr>
      <w:r>
        <w:rPr>
          <w:caps w:val="false"/>
          <w:smallCaps w:val="false"/>
        </w:rPr>
        <w:t> </w:t>
      </w:r>
    </w:p>
    <w:tbl>
      <w:tblPr>
        <w:tblW w:w="9534" w:type="dxa"/>
        <w:jc w:val="left"/>
        <w:tblInd w:w="0" w:type="dxa"/>
        <w:tblLayout w:type="fixed"/>
        <w:tblCellMar>
          <w:top w:w="0" w:type="dxa"/>
          <w:left w:w="0" w:type="dxa"/>
          <w:bottom w:w="0" w:type="dxa"/>
          <w:right w:w="0" w:type="dxa"/>
        </w:tblCellMar>
      </w:tblPr>
      <w:tblGrid>
        <w:gridCol w:w="2045"/>
        <w:gridCol w:w="90"/>
        <w:gridCol w:w="90"/>
        <w:gridCol w:w="1010"/>
        <w:gridCol w:w="90"/>
        <w:gridCol w:w="90"/>
        <w:gridCol w:w="90"/>
        <w:gridCol w:w="590"/>
        <w:gridCol w:w="290"/>
        <w:gridCol w:w="90"/>
        <w:gridCol w:w="90"/>
        <w:gridCol w:w="1010"/>
        <w:gridCol w:w="90"/>
        <w:gridCol w:w="90"/>
        <w:gridCol w:w="90"/>
        <w:gridCol w:w="590"/>
        <w:gridCol w:w="290"/>
        <w:gridCol w:w="90"/>
        <w:gridCol w:w="90"/>
        <w:gridCol w:w="905"/>
        <w:gridCol w:w="125"/>
        <w:gridCol w:w="90"/>
        <w:gridCol w:w="161"/>
        <w:gridCol w:w="983"/>
        <w:gridCol w:w="365"/>
      </w:tblGrid>
      <w:tr>
        <w:trPr/>
        <w:tc>
          <w:tcPr>
            <w:tcW w:w="204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3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For the Years Ended March 31,</w:t>
            </w:r>
            <w:r>
              <w:rPr>
                <w:rFonts w:ascii="Times New Roman;Times;Serif" w:hAnsi="Times New Roman;Times;Serif"/>
                <w:sz w:val="20"/>
              </w:rPr>
              <w:t xml:space="preserve">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w:t>
            </w:r>
          </w:p>
        </w:tc>
        <w:tc>
          <w:tcPr>
            <w:tcW w:w="365"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Physical copies sold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(704,457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3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Digital copies sold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5,259,520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4,656,893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602,627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36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copies sold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6,387,803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6,489,633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(101,830</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9439" w:type="dxa"/>
        <w:jc w:val="left"/>
        <w:tblInd w:w="0" w:type="dxa"/>
        <w:tblLayout w:type="fixed"/>
        <w:tblCellMar>
          <w:top w:w="0" w:type="dxa"/>
          <w:left w:w="0" w:type="dxa"/>
          <w:bottom w:w="0" w:type="dxa"/>
          <w:right w:w="0" w:type="dxa"/>
        </w:tblCellMar>
      </w:tblPr>
      <w:tblGrid>
        <w:gridCol w:w="2045"/>
        <w:gridCol w:w="90"/>
        <w:gridCol w:w="90"/>
        <w:gridCol w:w="1010"/>
        <w:gridCol w:w="90"/>
        <w:gridCol w:w="90"/>
        <w:gridCol w:w="90"/>
        <w:gridCol w:w="590"/>
        <w:gridCol w:w="245"/>
        <w:gridCol w:w="90"/>
        <w:gridCol w:w="90"/>
        <w:gridCol w:w="1010"/>
        <w:gridCol w:w="90"/>
        <w:gridCol w:w="90"/>
        <w:gridCol w:w="90"/>
        <w:gridCol w:w="590"/>
        <w:gridCol w:w="245"/>
        <w:gridCol w:w="90"/>
        <w:gridCol w:w="90"/>
        <w:gridCol w:w="1010"/>
        <w:gridCol w:w="90"/>
        <w:gridCol w:w="90"/>
        <w:gridCol w:w="182"/>
        <w:gridCol w:w="962"/>
        <w:gridCol w:w="290"/>
      </w:tblGrid>
      <w:tr>
        <w:trPr/>
        <w:tc>
          <w:tcPr>
            <w:tcW w:w="204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For the Years Ended March 31,</w:t>
            </w:r>
            <w:r>
              <w:rPr>
                <w:rFonts w:ascii="Times New Roman;Times;Serif" w:hAnsi="Times New Roman;Times;Serif"/>
                <w:sz w:val="20"/>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w:t>
            </w:r>
          </w:p>
        </w:tc>
        <w:tc>
          <w:tcPr>
            <w:tcW w:w="290"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Physical copies sold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29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Digital copies sold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4,656,893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3,787,922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868,971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290"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copies sold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6,489,633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5,022,071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substantial growth in the number of digital copies sold. Approximately 5.3 million of digital copies were sold for year ended March 31, 2026, compared to approximately 4.7 million and 3.8 million digital copies sold for the same period in 2025 and 2024, respectively, representing an increase of 12.9% and 22.9% for the year ended March 31, 2026, and 2025, respectively. Meanwhile, the number of physical copies sold decreased by 38.4% and increased by 48.5% for the year ended March 31, 2026, and 2025, respectively. These changes highlight our effective adaptation to consumer preferences for digital formats, reflecting broader industry trends towards convenient, direct access to gaming content and an increasing environmental consciousness. The increase in unit sales volumes for digital copies was primarily attributable to lower average selling prices, reflecting pricing adjustments in response to market conditions, resulting in a decrease in console games sales revenue of approximately $18.8 million for the year ended March 31, 2026 compared to the same period in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2960"/>
        <w:gridCol w:w="90"/>
        <w:gridCol w:w="170"/>
        <w:gridCol w:w="1325"/>
        <w:gridCol w:w="125"/>
        <w:gridCol w:w="90"/>
        <w:gridCol w:w="170"/>
        <w:gridCol w:w="1325"/>
        <w:gridCol w:w="125"/>
        <w:gridCol w:w="90"/>
        <w:gridCol w:w="170"/>
        <w:gridCol w:w="1205"/>
        <w:gridCol w:w="125"/>
        <w:gridCol w:w="90"/>
        <w:gridCol w:w="140"/>
        <w:gridCol w:w="1035"/>
        <w:gridCol w:w="365"/>
      </w:tblGrid>
      <w:tr>
        <w:trPr/>
        <w:tc>
          <w:tcPr>
            <w:tcW w:w="29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1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36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br/>
              <w:t>Change</w:t>
            </w:r>
          </w:p>
        </w:tc>
        <w:tc>
          <w:tcPr>
            <w:tcW w:w="365" w:type="dxa"/>
            <w:tcBorders/>
            <w:vAlign w:val="center"/>
          </w:tcPr>
          <w:p>
            <w:pPr>
              <w:pStyle w:val="TableContents"/>
              <w:bidi w:val="0"/>
              <w:spacing w:before="0" w:after="283"/>
              <w:ind w:left="0" w:right="0" w:hanging="180"/>
              <w:jc w:val="left"/>
              <w:rPr/>
            </w:pPr>
            <w:r>
              <w:rPr/>
              <w:t> </w:t>
            </w:r>
          </w:p>
        </w:tc>
      </w:tr>
      <w:tr>
        <w:trPr/>
        <w:tc>
          <w:tcPr>
            <w:tcW w:w="2960"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238,924,089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142,072,586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96,851,503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68.2</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960" w:type="dxa"/>
            <w:tcBorders/>
            <w:shd w:fill="FFFFFF" w:val="clear"/>
            <w:vAlign w:val="center"/>
          </w:tcPr>
          <w:p>
            <w:pPr>
              <w:pStyle w:val="TableContents"/>
              <w:bidi w:val="0"/>
              <w:spacing w:before="0" w:after="283"/>
              <w:jc w:val="both"/>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(214,195,960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(120,829,225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(93,366,735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77.3</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960" w:type="dxa"/>
            <w:tcBorders/>
            <w:shd w:fill="CCEEFF" w:val="clear"/>
            <w:vAlign w:val="center"/>
          </w:tcPr>
          <w:p>
            <w:pPr>
              <w:pStyle w:val="TableContents"/>
              <w:bidi w:val="0"/>
              <w:spacing w:before="0" w:after="283"/>
              <w:jc w:val="both"/>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24,728,129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21,243,361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3,484,768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16.4</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960" w:type="dxa"/>
            <w:tcBorders/>
            <w:shd w:fill="FFFFFF" w:val="clear"/>
            <w:vAlign w:val="center"/>
          </w:tcPr>
          <w:p>
            <w:pPr>
              <w:pStyle w:val="TableContents"/>
              <w:bidi w:val="0"/>
              <w:spacing w:before="0" w:after="283"/>
              <w:jc w:val="both"/>
              <w:rPr/>
            </w:pPr>
            <w:r>
              <w:rPr/>
              <w:t>Selling and marketing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(4,848,605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(2,568,702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(2,279,903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88.8</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960" w:type="dxa"/>
            <w:tcBorders/>
            <w:shd w:fill="CCEEFF" w:val="clear"/>
            <w:vAlign w:val="center"/>
          </w:tcPr>
          <w:p>
            <w:pPr>
              <w:pStyle w:val="TableContents"/>
              <w:bidi w:val="0"/>
              <w:spacing w:before="0" w:after="283"/>
              <w:jc w:val="both"/>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(33,151,801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(15,438,447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(17,713,354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114.7</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960" w:type="dxa"/>
            <w:tcBorders/>
            <w:shd w:fill="FFFFFF" w:val="clear"/>
            <w:vAlign w:val="center"/>
          </w:tcPr>
          <w:p>
            <w:pPr>
              <w:pStyle w:val="TableContents"/>
              <w:bidi w:val="0"/>
              <w:spacing w:before="0" w:after="283"/>
              <w:jc w:val="both"/>
              <w:rPr/>
            </w:pPr>
            <w:r>
              <w:rPr/>
              <w:t>(Loss) income from operations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(13,272,277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3,236,212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(16,508,489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(510.1</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960" w:type="dxa"/>
            <w:tcBorders/>
            <w:shd w:fill="CCEEFF" w:val="clear"/>
            <w:vAlign w:val="center"/>
          </w:tcPr>
          <w:p>
            <w:pPr>
              <w:pStyle w:val="TableContents"/>
              <w:bidi w:val="0"/>
              <w:spacing w:before="0" w:after="283"/>
              <w:jc w:val="both"/>
              <w:rPr/>
            </w:pPr>
            <w:r>
              <w:rPr/>
              <w:t>Other (expense)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(12,691,191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2,941,881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(15,633,072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(531.4</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960" w:type="dxa"/>
            <w:tcBorders/>
            <w:shd w:fill="FFFFFF" w:val="clear"/>
            <w:vAlign w:val="center"/>
          </w:tcPr>
          <w:p>
            <w:pPr>
              <w:pStyle w:val="TableContents"/>
              <w:bidi w:val="0"/>
              <w:spacing w:before="0" w:after="283"/>
              <w:jc w:val="both"/>
              <w:rPr/>
            </w:pPr>
            <w:r>
              <w:rPr/>
              <w:t>Income tax expense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(239,753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(1,128,672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(888,919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(78.8</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960" w:type="dxa"/>
            <w:tcBorders/>
            <w:shd w:fill="CCEEFF" w:val="clear"/>
            <w:vAlign w:val="center"/>
          </w:tcPr>
          <w:p>
            <w:pPr>
              <w:pStyle w:val="TableContents"/>
              <w:bidi w:val="0"/>
              <w:spacing w:before="0" w:after="283"/>
              <w:jc w:val="both"/>
              <w:rPr/>
            </w:pPr>
            <w:r>
              <w:rPr/>
              <w:t>Net (loss)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(26,203,221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5,049,421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(31,252,642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(618.9</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from our revenue categories are summarized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5"/>
        <w:gridCol w:w="90"/>
        <w:gridCol w:w="170"/>
        <w:gridCol w:w="1250"/>
        <w:gridCol w:w="125"/>
        <w:gridCol w:w="90"/>
        <w:gridCol w:w="90"/>
        <w:gridCol w:w="590"/>
        <w:gridCol w:w="264"/>
        <w:gridCol w:w="90"/>
        <w:gridCol w:w="170"/>
        <w:gridCol w:w="1250"/>
        <w:gridCol w:w="125"/>
        <w:gridCol w:w="90"/>
        <w:gridCol w:w="90"/>
        <w:gridCol w:w="590"/>
        <w:gridCol w:w="264"/>
        <w:gridCol w:w="90"/>
        <w:gridCol w:w="170"/>
        <w:gridCol w:w="1250"/>
        <w:gridCol w:w="125"/>
        <w:gridCol w:w="90"/>
        <w:gridCol w:w="111"/>
        <w:gridCol w:w="734"/>
        <w:gridCol w:w="312"/>
      </w:tblGrid>
      <w:tr>
        <w:trPr/>
        <w:tc>
          <w:tcPr>
            <w:tcW w:w="198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98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12" w:type="dxa"/>
            <w:tcBorders/>
            <w:vAlign w:val="center"/>
          </w:tcPr>
          <w:p>
            <w:pPr>
              <w:pStyle w:val="TableContents"/>
              <w:bidi w:val="0"/>
              <w:spacing w:before="0" w:after="283"/>
              <w:ind w:left="0" w:right="0" w:hanging="180"/>
              <w:jc w:val="left"/>
              <w:rPr/>
            </w:pPr>
            <w:r>
              <w:rPr/>
              <w:t> </w:t>
            </w:r>
          </w:p>
        </w:tc>
      </w:tr>
      <w:tr>
        <w:trPr/>
        <w:tc>
          <w:tcPr>
            <w:tcW w:w="19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12" w:type="dxa"/>
            <w:tcBorders/>
            <w:vAlign w:val="center"/>
          </w:tcPr>
          <w:p>
            <w:pPr>
              <w:pStyle w:val="TableContents"/>
              <w:bidi w:val="0"/>
              <w:spacing w:before="0" w:after="283"/>
              <w:ind w:left="0" w:right="0" w:hanging="180"/>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Console game,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229,271,559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123,263,542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106,008,017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w:t>
            </w:r>
          </w:p>
        </w:tc>
        <w:tc>
          <w:tcPr>
            <w:tcW w:w="31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8,670,063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23,757,232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(15,087,169</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w:t>
            </w:r>
          </w:p>
        </w:tc>
        <w:tc>
          <w:tcPr>
            <w:tcW w:w="31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2,238,364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(725,302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31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1,374,495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541,156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833,339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154.0</w:t>
            </w:r>
          </w:p>
        </w:tc>
        <w:tc>
          <w:tcPr>
            <w:tcW w:w="31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Elimination of intersegment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(1,905,090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(7,727,708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5,822,618</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31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238,924,089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142,072,586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6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96,851,503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w:t>
            </w:r>
          </w:p>
        </w:tc>
        <w:tc>
          <w:tcPr>
            <w:tcW w:w="3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mainly derived from (i) sale of console games, hardware, computer accessories, other multimedia products, (ii) game publishing, and (iii) media advertising services. The total revenue increased by approximately $96.8 million, or 68.2%, to approximately $238.9 million for the year ended March 31, 2026 from approximately $142.1 million for the same period in 2025. The increase was mainly attributed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 of console game, hardware, computer accessories and other multi-media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sale of console game, hardware, computer accessories and other multi-media products increased by approximately $106.0 million, or 86.0%, to approximately $229 million for the year ended March 31, 2026, from approximately $123.3 million for the year ended March 31, 2025. The increase was primarily attributable to the acquisition of Ban Leong Technologies Limited (“Ban Leong”) and its subsidiaries. Ban Leong serves as an authorized distributor for major brands of hardware, computer accessories and other multi-media products. The acquisition of Ban Leong contributed approximately $124.4 million of revenue from sales of hardware, computer accessories and other multi-media products. The increase was offset by approximately $18.4 million decrease of revenue from sales of console games due to lower selling prices for certain game titles, reflecting strategic pricing adjustments in response to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game publishing was generated from collaboration with third party game developers and obtaining exclusive publishing right in distributing the console game codes though third parties’ storefronts, such as Sony’s PlayStation Network and Valve’s Steam. For the year ended March 31, 2026, we published 5 new game titles and generated approximately $8.7 million of revenue from game publishing as compared to 4 game titles published, generating approximately $23.8 million of revenue during the year ended March 31, 2025 in above-mentioned store fronts.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63.5% decrease in revenue from game publishing was primarily due to lower sales of </w:t>
      </w:r>
      <w:r>
        <w:rPr>
          <w:rFonts w:ascii="Times New Roman;Times;Serif" w:hAnsi="Times New Roman;Times;Serif"/>
          <w:b w:val="false"/>
          <w:i/>
          <w:caps w:val="false"/>
          <w:smallCaps w:val="false"/>
          <w:sz w:val="20"/>
        </w:rPr>
        <w:t>Black Myth: Wukong</w:t>
      </w:r>
      <w:r>
        <w:rPr>
          <w:rFonts w:ascii="Times New Roman;Times;Serif" w:hAnsi="Times New Roman;Times;Serif"/>
          <w:b w:val="false"/>
          <w:i w:val="false"/>
          <w:caps w:val="false"/>
          <w:smallCaps w:val="false"/>
          <w:sz w:val="20"/>
        </w:rPr>
        <w:t>. The title generated significant revenue following its initial launch in fiscal year ended March 31, 2025, contributing approximately $11.2 million in game publishing revenue. As the title entered its second year after launch, sales momentum moderated, resulting in a decrease in revenue to approximately $2.3 million in fiscal year ended March 31,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Media advertising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media advertising services consisted of video marketing campaign service and social media advertising service. Our revenue from advertising services decreased approximately $0.7 million, or 32.4%, to approximately $1.5 million for the year ended March 31, 2026 from approximately $2.2 million for the same period in 2025. The decrease was driven partially by a decrease in revenue from social media advertising service for approximately $0.3 million due to reduced earnings from our YouTube channel, which is highly dependent on video views. It was also caused by a decreased revenue from video marketing campaign services of approximately $0.4 million due to fewer service contracts entered when compared to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comprised of sales of fashion jewelry through our online e-commerce platform. For the years ended March 31, 2026 and 2025, this revenue amounted to approximately $1.4 million and $0.5 million, respectively. We anticipate that this source of revenue will continue to remain insignificant to our overall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from our revenue categories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0"/>
        <w:gridCol w:w="90"/>
        <w:gridCol w:w="170"/>
        <w:gridCol w:w="1250"/>
        <w:gridCol w:w="125"/>
        <w:gridCol w:w="90"/>
        <w:gridCol w:w="90"/>
        <w:gridCol w:w="590"/>
        <w:gridCol w:w="266"/>
        <w:gridCol w:w="90"/>
        <w:gridCol w:w="170"/>
        <w:gridCol w:w="1250"/>
        <w:gridCol w:w="125"/>
        <w:gridCol w:w="90"/>
        <w:gridCol w:w="90"/>
        <w:gridCol w:w="590"/>
        <w:gridCol w:w="266"/>
        <w:gridCol w:w="90"/>
        <w:gridCol w:w="170"/>
        <w:gridCol w:w="1130"/>
        <w:gridCol w:w="125"/>
        <w:gridCol w:w="90"/>
        <w:gridCol w:w="119"/>
        <w:gridCol w:w="726"/>
        <w:gridCol w:w="313"/>
      </w:tblGrid>
      <w:tr>
        <w:trPr/>
        <w:tc>
          <w:tcPr>
            <w:tcW w:w="210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986"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2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13" w:type="dxa"/>
            <w:tcBorders/>
            <w:vAlign w:val="center"/>
          </w:tcPr>
          <w:p>
            <w:pPr>
              <w:pStyle w:val="TableContents"/>
              <w:bidi w:val="0"/>
              <w:spacing w:before="0" w:after="283"/>
              <w:ind w:left="0" w:right="0" w:hanging="180"/>
              <w:jc w:val="left"/>
              <w:rPr/>
            </w:pPr>
            <w:r>
              <w:rPr/>
              <w:t> </w:t>
            </w:r>
          </w:p>
        </w:tc>
      </w:tr>
      <w:tr>
        <w:trPr/>
        <w:tc>
          <w:tcPr>
            <w:tcW w:w="21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13" w:type="dxa"/>
            <w:tcBorders/>
            <w:vAlign w:val="center"/>
          </w:tcPr>
          <w:p>
            <w:pPr>
              <w:pStyle w:val="TableContents"/>
              <w:bidi w:val="0"/>
              <w:spacing w:before="0" w:after="283"/>
              <w:ind w:left="0" w:right="0" w:hanging="180"/>
              <w:jc w:val="left"/>
              <w:rPr/>
            </w:pPr>
            <w:r>
              <w:rPr/>
              <w:t> </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Console game,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209,884,697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115,884,467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94,000,230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w:t>
            </w:r>
          </w:p>
        </w:tc>
        <w:tc>
          <w:tcPr>
            <w:tcW w:w="313"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5,041,422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11,110,156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(6,068,734</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w:t>
            </w:r>
          </w:p>
        </w:tc>
        <w:tc>
          <w:tcPr>
            <w:tcW w:w="313"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869,320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(87,071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313"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316,971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w:t>
            </w:r>
          </w:p>
        </w:tc>
        <w:tc>
          <w:tcPr>
            <w:tcW w:w="313"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Elimination of intersegment 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(1,916,450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(7,296,367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5,379,917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w:t>
            </w:r>
          </w:p>
        </w:tc>
        <w:tc>
          <w:tcPr>
            <w:tcW w:w="313"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214,195,960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120,829,225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93,366,735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approximately $93.4 million, or 77.3%, to approximately $214.2 million for the year ended March 31, 2026 from approximately $120.8 million for the same period in 2025. The increase in cost of revenues was attributed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console game, hardware, computer accessories and other multi-media products increased by approximately $94.0 million, or 81.1%, to approximately $209.9 million for the year ended March 31, 2026 from approximately $115.9 million for the same period in 2025. The increase was in line with increase in revenue from console game, hardware, computer accessories and other multi-media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game publishing decreased by approximately $6.1 million, or 54.6%, to approximately $5.0 million for the year ended March 31, 2026 from approximately $11.1 million for the same period in 2025. The decreased cost of game publishing was in line with the decrease of revenue from game publishing.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media advertising services decreased approximately $0.1 million or 9.1%, to approximately $0.9 million for the year ended March 31, 2026 from approximately $1.0 million for the same period in 2025. The decrease was attributable to decrease in the cost of revenue from social media advertising service by $0.2 million as we incurred less video production costs related to creating video content published on our YouTube Channel. The decrease in the cost of revenue from social media advertising service was offset by an increase of approximately $0.1 million in the cost of revenue from video marketing campaign production as we incurred higher labor cand production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gross profit increased by approximately $3.5 million, or 16.4%, to approximately $24.7 million for the year ended March 31, 2026 from approximately $21.2 million for the year ended March 31, 2025. The increase was primarily attributable to higher gross profit from sales of console games, hardware, computer accessories and other multi-media products of approximately $5.9 million. These increases were mainly driven by the acquisition of Ban Leong, which contributed to the expansion of console games, hardware, computer accessories and other multi-media product sales. The increase was partially offset by the decreases in gross profit from game publishing of approximately $2.4 million, which was consistent with the corresponding changes in revenue from game publishing 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our overall gross margin decreased by 4.7% to 10.3%, from 15.0% for the year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segment gross profit is summarized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5"/>
        <w:gridCol w:w="90"/>
        <w:gridCol w:w="170"/>
        <w:gridCol w:w="1130"/>
        <w:gridCol w:w="245"/>
        <w:gridCol w:w="90"/>
        <w:gridCol w:w="170"/>
        <w:gridCol w:w="1130"/>
        <w:gridCol w:w="245"/>
        <w:gridCol w:w="90"/>
        <w:gridCol w:w="170"/>
        <w:gridCol w:w="1130"/>
        <w:gridCol w:w="273"/>
        <w:gridCol w:w="90"/>
        <w:gridCol w:w="111"/>
        <w:gridCol w:w="734"/>
        <w:gridCol w:w="222"/>
      </w:tblGrid>
      <w:tr>
        <w:trPr/>
        <w:tc>
          <w:tcPr>
            <w:tcW w:w="411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577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222" w:type="dxa"/>
            <w:tcBorders/>
            <w:vAlign w:val="center"/>
          </w:tcPr>
          <w:p>
            <w:pPr>
              <w:pStyle w:val="TableContents"/>
              <w:bidi w:val="0"/>
              <w:spacing w:before="0" w:after="283"/>
              <w:ind w:left="0" w:right="0" w:hanging="180"/>
              <w:jc w:val="left"/>
              <w:rPr/>
            </w:pPr>
            <w:r>
              <w:rPr/>
              <w:t> </w:t>
            </w:r>
          </w:p>
        </w:tc>
      </w:tr>
      <w:tr>
        <w:trPr/>
        <w:tc>
          <w:tcPr>
            <w:tcW w:w="41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br/>
              <w:t>(USD)</w:t>
            </w:r>
          </w:p>
        </w:tc>
        <w:tc>
          <w:tcPr>
            <w:tcW w:w="2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br/>
              <w:t>(%)</w:t>
            </w:r>
          </w:p>
        </w:tc>
        <w:tc>
          <w:tcPr>
            <w:tcW w:w="222" w:type="dxa"/>
            <w:tcBorders/>
            <w:vAlign w:val="center"/>
          </w:tcPr>
          <w:p>
            <w:pPr>
              <w:pStyle w:val="TableContents"/>
              <w:bidi w:val="0"/>
              <w:spacing w:before="0" w:after="283"/>
              <w:ind w:left="0" w:right="0" w:hanging="180"/>
              <w:jc w:val="left"/>
              <w:rPr/>
            </w:pPr>
            <w:r>
              <w:rPr/>
              <w:t> </w:t>
            </w:r>
          </w:p>
        </w:tc>
      </w:tr>
      <w:tr>
        <w:trPr/>
        <w:tc>
          <w:tcPr>
            <w:tcW w:w="41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Console games, hardware, computer accessories and other multi-media products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19,386,862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7,379,075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12,007,787</w:t>
            </w:r>
          </w:p>
        </w:tc>
        <w:tc>
          <w:tcPr>
            <w:tcW w:w="2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162.7</w:t>
            </w:r>
          </w:p>
        </w:tc>
        <w:tc>
          <w:tcPr>
            <w:tcW w:w="22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Game Publishing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3,628,641</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12,647,076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(9,018,435</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w:t>
            </w:r>
          </w:p>
        </w:tc>
        <w:tc>
          <w:tcPr>
            <w:tcW w:w="22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Advertising service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643,742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1,281,973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(638,231</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w:t>
            </w:r>
          </w:p>
        </w:tc>
        <w:tc>
          <w:tcPr>
            <w:tcW w:w="22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Console games, hardware, computer accessories and other multi-media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segment gross profit from console games, hardware, computer accessories, and other multi-media products was primarily attributable to the acquisition of Ban Leong, which significantly expanded the Company’s sales of hardware, computer accessories, and other multi-media products. The increase was partially offset by a decrease in gross profit from console game sales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console games, hardware, computer accessories, and other multi-media products increased to 8.5% for the year ended March 31, 2026, from 6.0% for the same period in 2025. The improvement was primarily driven by the acquisition of Ban Leong, whose hardware, computer accessories, and other multi-media products business generated a higher gross profit margin of approximately 10.4%, thereby increasing the overall profitability of the segment. Excluding the impact of the acquisition, the gross profit margin of the Company’s console game business remained consistent at approximately 6.2% and 6.0% for the years ended March 31,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from game publishing decreased by approximately $9.0 million to approximately $3.6 million for the year ended March 31, 2026 from approximately $12.6 million for the same period in 2025, primarily attributable to decrease of game publishing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game publishing decreased to 41.9% for the year ended March 31, 2026, from 53.2% for the same period in 2025, primarily due to a decrease in intersegment revenue of approximately $5.2 million. The decrease was partially offset by a 4.1% increase in the gross profit margin from game publishing sales to external customers, primarily attributable to a more favorable sales mix, as certain game titles generated higher profit margins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from advertising services decreased to approximately $0.6 million for the year ended March 31, 2026 from approximately $1.3 million for the year ended March 31, 2025. The decrease was primarily attributable to decrease in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advertising services decrease to 42.5% for the year ended March 31, 2026, from 57.3% for the same period in 2025, the decrease was mainly attributable to higher labor and production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by approximately $20.0 million, or 111.0%, to approximately $38.0 million for the year ended March 31, 2026 from approximately $18.0 million for the year ended March 31, 2025. The increase was mainly attributed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increased by approximately $2.3 million, or 88.8%, primarily due to (i) approximately $1.0 million in increased marketing and advertising expenses, and (ii) an additional approximately $1.3 million in selling expenses, including advertising and sales commissions, incurred by Ban Leong and its subsidiaries following the acquisition of Ban Leong.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approximately $17.7 million, or 114.7%, primarily due to (i) an approximately $2.5 million increase in salary expenses, software development costs, and other office-related expenses resulting from the Company’s ongoing business expansion; (ii) an approximately $3.1 million increase in professional fees, primarily due to costs incurred in connection with the completion of the acquisition of Ban Leong and other professional services related to the Company’s operations; (iii) an approximately $1.4 million increase in bad debt expense, primarily due to higher credit loss provisions; and (iv) an additional approximately $9.4 million in general and administrative expenses incurred by Ban Leong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profit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segment profit (loss) from our reportable segments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0"/>
        <w:gridCol w:w="90"/>
        <w:gridCol w:w="170"/>
        <w:gridCol w:w="1085"/>
        <w:gridCol w:w="125"/>
        <w:gridCol w:w="90"/>
        <w:gridCol w:w="170"/>
        <w:gridCol w:w="1130"/>
        <w:gridCol w:w="125"/>
        <w:gridCol w:w="90"/>
        <w:gridCol w:w="170"/>
        <w:gridCol w:w="1205"/>
        <w:gridCol w:w="185"/>
        <w:gridCol w:w="90"/>
        <w:gridCol w:w="118"/>
        <w:gridCol w:w="877"/>
        <w:gridCol w:w="325"/>
      </w:tblGrid>
      <w:tr>
        <w:trPr/>
        <w:tc>
          <w:tcPr>
            <w:tcW w:w="416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563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325" w:type="dxa"/>
            <w:tcBorders/>
            <w:vAlign w:val="center"/>
          </w:tcPr>
          <w:p>
            <w:pPr>
              <w:pStyle w:val="TableContents"/>
              <w:bidi w:val="0"/>
              <w:spacing w:before="0" w:after="283"/>
              <w:ind w:left="0" w:right="0" w:hanging="180"/>
              <w:jc w:val="left"/>
              <w:rPr/>
            </w:pPr>
            <w:r>
              <w:rPr/>
              <w:t> </w:t>
            </w:r>
          </w:p>
        </w:tc>
      </w:tr>
      <w:tr>
        <w:trPr/>
        <w:tc>
          <w:tcPr>
            <w:tcW w:w="4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5" w:type="dxa"/>
            <w:tcBorders/>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Console games, hardware, computer accessories and other multi-media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(4,215,590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(4,027,124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pPr>
            <w:r>
              <w:rPr/>
              <w:t>(188,466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(4.7</w:t>
            </w:r>
          </w:p>
        </w:tc>
        <w:tc>
          <w:tcPr>
            <w:tcW w:w="325" w:type="dxa"/>
            <w:tcBorders/>
            <w:shd w:fill="CCEEFF" w:val="clear"/>
            <w:vAlign w:val="center"/>
          </w:tcPr>
          <w:p>
            <w:pPr>
              <w:pStyle w:val="TableContents"/>
              <w:bidi w:val="0"/>
              <w:spacing w:before="0" w:after="283"/>
              <w:ind w:left="0" w:right="0" w:hanging="180"/>
              <w:jc w:val="left"/>
              <w:rPr/>
            </w:pPr>
            <w:r>
              <w:rPr/>
              <w:t>)</w:t>
            </w:r>
            <w:r>
              <w:rPr>
                <w:rFonts w:ascii="Times New Roman;Times;Serif" w:hAnsi="Times New Roman;Times;Serif"/>
              </w:rPr>
              <w:t>%</w:t>
            </w:r>
          </w:p>
        </w:tc>
      </w:tr>
      <w:tr>
        <w:trPr/>
        <w:tc>
          <w:tcPr>
            <w:tcW w:w="4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(1,483,948</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10,675,791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(12,159,739</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w:t>
            </w:r>
          </w:p>
        </w:tc>
        <w:tc>
          <w:tcPr>
            <w:tcW w:w="32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(570,371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(213,510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(356,861</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w:t>
            </w:r>
          </w:p>
        </w:tc>
        <w:tc>
          <w:tcPr>
            <w:tcW w:w="32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reportable segment profit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(6,269,909</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6,435,157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(12,705,066</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(197.4</w:t>
            </w:r>
          </w:p>
        </w:tc>
        <w:tc>
          <w:tcPr>
            <w:tcW w:w="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Console games, hardware, computer accessories and other multi-media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from console games, hardware, and accessories was approximately $4.2 million for the year ended March 31, 2026, compared to a segment loss of approximately $4.0 million for the year ended March 31, 2025, representing an increase in segment loss of approximately $0.2 million. The increase in segment loss was primarily attributable to the increase in operating expenses, including increases in salary expenses, professional fees, bad debt expense, interest expenses, rent, and advertising and marketing expenses, primarily associated with the expansion of the Company’s operations following the acquisition. The increase in segment loss was partially offset by the increase in segment gross profit discussed above, driven by the acquisition of Ban Leong and the resulting expansion of hardware, computer accessories, and other multi-media product sales.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results from game publishing changed to a segment loss of approximately $1.5 million for the year ended March 31, 2026, from a segment profit of approximately $10.7 million for the year ended March 31, 2025, representing a decrease of approximately $12.2 million. The decrease was primarily attributable to lower segment gross profit discussed above. In addition, operating expenses increased for the year ended March 31, 2026, primarily due to higher advertising and marketing expenses, professional fees, salary expenses, and other operating expenses. The increase in operating expenses was primarily attributable to the expansion of the game publishing operation as the Company continued to increase spending on marketing and promotional activities, support the introduction and launch of new game titles, and expand its game publishing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from advertising services was approximately $0.6 million for the year ended March 31, 2026, compared to approximately $0.2 million for the year ended March 31, 2025, representing an increase in segment loss of approximately $0.4 million. The increase in segment loss was primarily attributable to the decrease in segment gross profit discussed above, resulting from lower revenue. The increase in segment loss was partially offset by decreases in salary expenses, amortization and depreciation expenses, professional fees, and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2026 and 2025, we have other expense, net amounted to approximately $12.7 million and other income, net amounted to approximately $2.9 million, respectively, representing a decrease of approximately $15.6 million or 531.4%. The decrease was attributable to a decrease of recognition of approximately $16.1 million gain from change in fair value of convertible notes and derivative liabilities, an increase of approximately $2.0 million in interest expense due to increased debt financing in current period. This decrease was partially offset by an approximately $1.1 million decrease in finance cost related to debt issuance cost from issuance of the convertible notes, and an additional approximately $1.3 million in other income, net incurred by Ban Leong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decreased by approximately $0.9 million, or 78.8%, to approximately $0.2 million for the year ended March 31, 2026, compared to an approximately $1.1 million for the same period in 2025. This decrease was primarily attributable to (i) a decrease of approximately $1.3 million in current income tax expense resulting from lower taxable income in the current year, and (ii) an increase of approximately $0.2 million in deferred income tax benefit primarily due to the recognition of deferred tax assets and changes in temporary differences associated with the Company’s operating losses and timing differences; partially offset by (iii) an additional approximately $0.6 million of current income tax expense incurred by Ban Leong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$26.2 million for the year ended March 31, 2026, while we have a net income of approximately $5.0 million for the same period in 2025, representing a change of approximately $31.3 million, or 618.9%. Such change mainly was a direct outcome of the reasons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Years Ended March 31, 2025 and 2024</w:t>
      </w:r>
    </w:p>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2885"/>
        <w:gridCol w:w="90"/>
        <w:gridCol w:w="170"/>
        <w:gridCol w:w="1325"/>
        <w:gridCol w:w="125"/>
        <w:gridCol w:w="90"/>
        <w:gridCol w:w="170"/>
        <w:gridCol w:w="1205"/>
        <w:gridCol w:w="125"/>
        <w:gridCol w:w="90"/>
        <w:gridCol w:w="170"/>
        <w:gridCol w:w="1205"/>
        <w:gridCol w:w="125"/>
        <w:gridCol w:w="90"/>
        <w:gridCol w:w="111"/>
        <w:gridCol w:w="884"/>
        <w:gridCol w:w="365"/>
      </w:tblGrid>
      <w:tr>
        <w:trPr/>
        <w:tc>
          <w:tcPr>
            <w:tcW w:w="28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8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36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65" w:type="dxa"/>
            <w:tcBorders/>
            <w:vAlign w:val="center"/>
          </w:tcPr>
          <w:p>
            <w:pPr>
              <w:pStyle w:val="TableContents"/>
              <w:bidi w:val="0"/>
              <w:spacing w:before="0" w:after="283"/>
              <w:ind w:left="0" w:right="0" w:hanging="180"/>
              <w:jc w:val="left"/>
              <w:rPr/>
            </w:pPr>
            <w:r>
              <w:rPr/>
              <w:t> </w:t>
            </w:r>
          </w:p>
        </w:tc>
      </w:tr>
      <w:tr>
        <w:trPr/>
        <w:tc>
          <w:tcPr>
            <w:tcW w:w="2885"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142,072,586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97,534,701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44,537,885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45.7</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both"/>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(120,829,225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(84,216,243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(36,612,982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43.5</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both"/>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21,243,361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13,318,458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7,924,903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59.5</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both"/>
              <w:rPr/>
            </w:pPr>
            <w:r>
              <w:rPr/>
              <w:t>Selling and marketing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(2,568,702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(2,602,892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(34,190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(1.3</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both"/>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(15,438,447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(13,109,638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(2,328,809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17.8</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both"/>
              <w:rPr/>
            </w:pPr>
            <w:r>
              <w:rPr/>
              <w:t>Income (loss) from operations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3,236,212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(2,394,072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5,630,284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(235.2</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both"/>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2,941,881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486,407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2,455,474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504.8</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both"/>
              <w:rPr/>
            </w:pPr>
            <w:r>
              <w:rPr/>
              <w:t>Income tax expense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(1,128,672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(53,291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(1,075,381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2017.9</w:t>
            </w:r>
          </w:p>
        </w:tc>
        <w:tc>
          <w:tcPr>
            <w:tcW w:w="365"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both"/>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5,049,421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(1,960,956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7,010,377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(357.5</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from our revenue categories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8"/>
        <w:gridCol w:w="90"/>
        <w:gridCol w:w="170"/>
        <w:gridCol w:w="1250"/>
        <w:gridCol w:w="125"/>
        <w:gridCol w:w="90"/>
        <w:gridCol w:w="90"/>
        <w:gridCol w:w="590"/>
        <w:gridCol w:w="298"/>
        <w:gridCol w:w="90"/>
        <w:gridCol w:w="170"/>
        <w:gridCol w:w="1130"/>
        <w:gridCol w:w="125"/>
        <w:gridCol w:w="90"/>
        <w:gridCol w:w="90"/>
        <w:gridCol w:w="590"/>
        <w:gridCol w:w="298"/>
        <w:gridCol w:w="90"/>
        <w:gridCol w:w="170"/>
        <w:gridCol w:w="1130"/>
        <w:gridCol w:w="125"/>
        <w:gridCol w:w="90"/>
        <w:gridCol w:w="111"/>
        <w:gridCol w:w="734"/>
        <w:gridCol w:w="311"/>
      </w:tblGrid>
      <w:tr>
        <w:trPr/>
        <w:tc>
          <w:tcPr>
            <w:tcW w:w="2158"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89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11" w:type="dxa"/>
            <w:tcBorders/>
            <w:vAlign w:val="center"/>
          </w:tcPr>
          <w:p>
            <w:pPr>
              <w:pStyle w:val="TableContents"/>
              <w:bidi w:val="0"/>
              <w:spacing w:before="0" w:after="283"/>
              <w:ind w:left="0" w:right="0" w:hanging="180"/>
              <w:jc w:val="left"/>
              <w:rPr/>
            </w:pPr>
            <w:r>
              <w:rPr/>
              <w:t> </w:t>
            </w:r>
          </w:p>
        </w:tc>
      </w:tr>
      <w:tr>
        <w:trPr/>
        <w:tc>
          <w:tcPr>
            <w:tcW w:w="215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11" w:type="dxa"/>
            <w:tcBorders/>
            <w:vAlign w:val="center"/>
          </w:tcPr>
          <w:p>
            <w:pPr>
              <w:pStyle w:val="TableContents"/>
              <w:bidi w:val="0"/>
              <w:spacing w:before="0" w:after="283"/>
              <w:ind w:left="0" w:right="0" w:hanging="180"/>
              <w:jc w:val="left"/>
              <w:rPr/>
            </w:pPr>
            <w:r>
              <w:rPr/>
              <w:t> </w:t>
            </w:r>
          </w:p>
        </w:tc>
      </w:tr>
      <w:tr>
        <w:trPr/>
        <w:tc>
          <w:tcPr>
            <w:tcW w:w="21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Console game,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123,263,542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91,028,673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32,234,869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58"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23,757,232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2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4,446,872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2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19,310,360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434.2</w:t>
            </w:r>
          </w:p>
        </w:tc>
        <w:tc>
          <w:tcPr>
            <w:tcW w:w="311"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58"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2,238,364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2,716,090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(477,726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58"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541,156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368,128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w:t>
            </w:r>
          </w:p>
        </w:tc>
        <w:tc>
          <w:tcPr>
            <w:tcW w:w="311"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Elimination of intersegment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(7,727,708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(1,025,062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2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(6,702,646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653.9</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58"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142,072,586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97,534,701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44,537,885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w:t>
            </w:r>
          </w:p>
        </w:tc>
        <w:tc>
          <w:tcPr>
            <w:tcW w:w="3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mainly derived from sale of console game, hardware, and accessories, hardware, and accessories, game publishing, and media advertising service. The total revenue increased by approximately $44.5 million, or 45.7%, to approximately $142.1 million for the year ended March 31, 2025 from approximately $97.5 million for the same period in 2024. The increase was mainly attributed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console game, hardware,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sale of console game, hardware, and accessories increased by approximately $32.2 million, or 35.4%, to approximately $123.3 million for the year ended March 31, 2025 from approximately $91.0 million for the year ended March 31, 2024. The increase was primarily attributable to increase in revenue from sales of console game codes of approximately $34.6 million, representing an 65.8% increase in revenue from sales of console game codes. The reason for the increase in revenue from sales of console game codes was that we experienced higher demand for game downloads from online stores, allowing us to sell 4,656,893 copies of game codes for the year ended March 31, 2025, compared to 3,787,922 copies for the same period in 2024. The increase was offset by decrease in revenue from sales of physical console game of approximately $2.3 million, representing a 6.1% decrease in revenue from sales of physical console game primarily due to shifting consumer preferences toward digital downloads over physical discs.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game publishing was generated from collaboration with third party game developers and obtaining exclusive publishing right in distributing the console game codes though third parties’ storefronts, such as Sony’s PlayStation Network and Valve’s Steam. For the year ended March 31, 2025, we published four new game titles in addition to two game titles published during the year ended March 31, 2024 in above-mentioned store fronts, and generated approximately $16.0 million of revenue from game publishing.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from game publishing increased by approximately $12.6 million, or 367.1%, to approximately $16.0 million, net of intersegment revenue eliminations of approximately $7.7 million, for the year ended March 31, 2025, from approximately $3.4 million, net of intersegment revenue eliminations of approximately $1.0 million, for the year ended March 31, 2024. The increase was primarily due to the increase in revenue generated from the new game title, Black Myth: Wukong, which was initially published during the fiscal year ended March 31, 2025. Black Myth: Wukong generated approximately $11.2 million in game publishing revenue during the year ended March 31, 2025, reflecting strong market demand following its initial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Media advertising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media advertising services consisted of video marketing campaign service and social media advertising service. Our revenue from advertising services decreased approximately $0.5 million, or 17.6%, to approximately $2.2 million for the year ended March 31, 2025 from approximately $2.7 million for the same period of 2024. The decrease was driven partially by a decrease in revenue from social media advertising service for approximately $0.2 million due to reduced earnings from our YouTube channel, which is highly dependent on video views. It was also caused by a decreased revenue from video marketing campaign services of approximately $0.3 million due to fewer service contracts entered when compared to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comprised of sales of fashion jewelry through our online e-commerce platform. For the year ended March 31, 2025, this revenue amounted to approximately $0.5 million. We anticipate that this source of revenue will continue to remain insignificant to our overall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from our revenue categories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0"/>
        <w:gridCol w:w="90"/>
        <w:gridCol w:w="170"/>
        <w:gridCol w:w="1250"/>
        <w:gridCol w:w="125"/>
        <w:gridCol w:w="90"/>
        <w:gridCol w:w="90"/>
        <w:gridCol w:w="590"/>
        <w:gridCol w:w="297"/>
        <w:gridCol w:w="90"/>
        <w:gridCol w:w="170"/>
        <w:gridCol w:w="1130"/>
        <w:gridCol w:w="125"/>
        <w:gridCol w:w="90"/>
        <w:gridCol w:w="90"/>
        <w:gridCol w:w="590"/>
        <w:gridCol w:w="297"/>
        <w:gridCol w:w="90"/>
        <w:gridCol w:w="170"/>
        <w:gridCol w:w="1130"/>
        <w:gridCol w:w="125"/>
        <w:gridCol w:w="90"/>
        <w:gridCol w:w="111"/>
        <w:gridCol w:w="734"/>
        <w:gridCol w:w="311"/>
      </w:tblGrid>
      <w:tr>
        <w:trPr/>
        <w:tc>
          <w:tcPr>
            <w:tcW w:w="216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897"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11" w:type="dxa"/>
            <w:tcBorders/>
            <w:vAlign w:val="center"/>
          </w:tcPr>
          <w:p>
            <w:pPr>
              <w:pStyle w:val="TableContents"/>
              <w:bidi w:val="0"/>
              <w:spacing w:before="0" w:after="283"/>
              <w:ind w:left="0" w:right="0" w:hanging="180"/>
              <w:jc w:val="left"/>
              <w:rPr/>
            </w:pPr>
            <w:r>
              <w:rPr/>
              <w:t> </w:t>
            </w:r>
          </w:p>
        </w:tc>
      </w:tr>
      <w:tr>
        <w:trPr/>
        <w:tc>
          <w:tcPr>
            <w:tcW w:w="2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11" w:type="dxa"/>
            <w:tcBorders/>
            <w:vAlign w:val="center"/>
          </w:tcPr>
          <w:p>
            <w:pPr>
              <w:pStyle w:val="TableContents"/>
              <w:bidi w:val="0"/>
              <w:spacing w:before="0" w:after="283"/>
              <w:ind w:left="0" w:right="0" w:hanging="180"/>
              <w:jc w:val="left"/>
              <w:rPr/>
            </w:pPr>
            <w:r>
              <w:rPr/>
              <w:t> </w:t>
            </w:r>
          </w:p>
        </w:tc>
      </w:tr>
      <w:tr>
        <w:trPr/>
        <w:tc>
          <w:tcPr>
            <w:tcW w:w="2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Console game,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115,884,467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80,804,637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35,079,830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11,110,156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2,736,076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8,374,080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306.1</w:t>
            </w:r>
          </w:p>
        </w:tc>
        <w:tc>
          <w:tcPr>
            <w:tcW w:w="311"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1,389,562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(433,171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w:t>
            </w:r>
          </w:p>
        </w:tc>
        <w:tc>
          <w:tcPr>
            <w:tcW w:w="311"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Elimination of intersegment 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(7,296,367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(849,701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(6,446,666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758.7</w:t>
            </w:r>
          </w:p>
        </w:tc>
        <w:tc>
          <w:tcPr>
            <w:tcW w:w="311"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120,829,225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84,216,243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36,612,982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3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approximately $36.6 million, or 43.5%, to approximately $120.8 million for the year ended March 31, 2025 from approximately $84.2 million for the same period in 2024. The increase in cost of revenues was attributed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console game, hardware, and accessories increased by approximately $28.2 million, or 35.2%, to approximately $108.6 million, net of elimination of intersegment cost of revenue of approximately $7.3 million for the year ended March 31, 2025 from approximately $80.3 million, net of elimination of intersegment cost of revenue of approximately $0.5 million for the same period in 2024. The increase was in line with increase in revenue from console game, hardware, and accessories.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game publishing increased by approximately $8.8 million, or 372.6%, to approximately $11.1 million for the year ended March 31, 2025 from approximately $2.4 million, net of intersegment cost of revenue of approximately $0.3 million for the same period in 2024. The increased cost of game publishing was in line with the increase of revenue from game publishing.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media advertising services decreased approximately $0.4 million or 31.2%, to approximately $1.0 million for the year ended March 31, 2025 from approximately $1.4 million for the same period in 2024. The decrease was attributable to decrease in the cost of revenue from social media advertising service by $0.2 million as we incurred less video production costs related to creating video content published on our YouTube Channel. The decrease in the cost of revenue from media advertising was attributable to the decreased cost of revenue from video marketing campaign production by approximately $0.3 million as we incurred lower labor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gross profit increased by approximately $7.9 million, or 59.5%, to approximately $21.2 million for the year ended March 31, 2025 from approximately $13.3 million for the year ended March 31, 2024. The increase was primarily attributable to increases in gross profit from external customers in the console game and game publishing segments of approximately $4.0 million and $3.8 million, respectively. These increases were consistent with the corresponding growth in revenue from the console game and game publishing 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gross margin increased slightly to 15.0% for the year ended March 31, 2025 from 13.7% for the year ended March 31, 2024, primarily reflecting our ability to maintain a relatively stable pricing and cost structure across our major segments, including console games and game publishing.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segment gross profit from our major revenue categories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0"/>
        <w:gridCol w:w="90"/>
        <w:gridCol w:w="170"/>
        <w:gridCol w:w="1130"/>
        <w:gridCol w:w="245"/>
        <w:gridCol w:w="90"/>
        <w:gridCol w:w="170"/>
        <w:gridCol w:w="1130"/>
        <w:gridCol w:w="245"/>
        <w:gridCol w:w="90"/>
        <w:gridCol w:w="170"/>
        <w:gridCol w:w="1130"/>
        <w:gridCol w:w="311"/>
        <w:gridCol w:w="90"/>
        <w:gridCol w:w="111"/>
        <w:gridCol w:w="734"/>
        <w:gridCol w:w="339"/>
      </w:tblGrid>
      <w:tr>
        <w:trPr/>
        <w:tc>
          <w:tcPr>
            <w:tcW w:w="396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5816"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339" w:type="dxa"/>
            <w:tcBorders/>
            <w:vAlign w:val="center"/>
          </w:tcPr>
          <w:p>
            <w:pPr>
              <w:pStyle w:val="TableContents"/>
              <w:bidi w:val="0"/>
              <w:spacing w:before="0" w:after="283"/>
              <w:ind w:left="0" w:right="0" w:hanging="180"/>
              <w:jc w:val="left"/>
              <w:rPr/>
            </w:pPr>
            <w:r>
              <w:rPr/>
              <w:t> </w:t>
            </w:r>
          </w:p>
        </w:tc>
      </w:tr>
      <w:tr>
        <w:trPr/>
        <w:tc>
          <w:tcPr>
            <w:tcW w:w="39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br/>
              <w:t>(USD)</w:t>
            </w:r>
          </w:p>
        </w:tc>
        <w:tc>
          <w:tcPr>
            <w:tcW w:w="3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br/>
              <w:t>(%)</w:t>
            </w:r>
          </w:p>
        </w:tc>
        <w:tc>
          <w:tcPr>
            <w:tcW w:w="339" w:type="dxa"/>
            <w:tcBorders/>
            <w:vAlign w:val="center"/>
          </w:tcPr>
          <w:p>
            <w:pPr>
              <w:pStyle w:val="TableContents"/>
              <w:bidi w:val="0"/>
              <w:spacing w:before="0" w:after="283"/>
              <w:ind w:left="0" w:right="0" w:hanging="180"/>
              <w:jc w:val="left"/>
              <w:rPr/>
            </w:pPr>
            <w:r>
              <w:rPr/>
              <w:t> </w:t>
            </w:r>
          </w:p>
        </w:tc>
      </w:tr>
      <w:tr>
        <w:trPr/>
        <w:tc>
          <w:tcPr>
            <w:tcW w:w="39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Console game, hardware, and accessories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ind w:left="0" w:right="0" w:hanging="180"/>
              <w:jc w:val="left"/>
              <w:rPr/>
            </w:pPr>
            <w:r>
              <w:rPr/>
              <w:t> </w:t>
            </w:r>
          </w:p>
        </w:tc>
      </w:tr>
      <w:tr>
        <w:trPr/>
        <w:tc>
          <w:tcPr>
            <w:tcW w:w="3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7,379,075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10,224,036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(2,844,961</w:t>
            </w:r>
          </w:p>
        </w:tc>
        <w:tc>
          <w:tcPr>
            <w:tcW w:w="3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339"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3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ind w:left="0" w:right="0" w:hanging="180"/>
              <w:jc w:val="left"/>
              <w:rPr/>
            </w:pPr>
            <w:r>
              <w:rPr/>
              <w:t> </w:t>
            </w:r>
          </w:p>
        </w:tc>
      </w:tr>
      <w:tr>
        <w:trPr/>
        <w:tc>
          <w:tcPr>
            <w:tcW w:w="39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Game Publishing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339" w:type="dxa"/>
            <w:tcBorders/>
            <w:shd w:fill="CCEEFF" w:val="clear"/>
            <w:vAlign w:val="center"/>
          </w:tcPr>
          <w:p>
            <w:pPr>
              <w:pStyle w:val="TableContents"/>
              <w:bidi w:val="0"/>
              <w:spacing w:before="0" w:after="283"/>
              <w:ind w:left="0" w:right="0" w:hanging="180"/>
              <w:jc w:val="left"/>
              <w:rPr/>
            </w:pPr>
            <w:r>
              <w:rPr/>
              <w:t> </w:t>
            </w:r>
          </w:p>
        </w:tc>
      </w:tr>
      <w:tr>
        <w:trPr/>
        <w:tc>
          <w:tcPr>
            <w:tcW w:w="3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12,647,076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1,710,796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10,936,280</w:t>
            </w:r>
          </w:p>
        </w:tc>
        <w:tc>
          <w:tcPr>
            <w:tcW w:w="3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639.3</w:t>
            </w:r>
          </w:p>
        </w:tc>
        <w:tc>
          <w:tcPr>
            <w:tcW w:w="339"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3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339" w:type="dxa"/>
            <w:tcBorders/>
            <w:shd w:fill="CCEEFF" w:val="clear"/>
            <w:vAlign w:val="center"/>
          </w:tcPr>
          <w:p>
            <w:pPr>
              <w:pStyle w:val="TableContents"/>
              <w:bidi w:val="0"/>
              <w:spacing w:before="0" w:after="283"/>
              <w:ind w:left="0" w:right="0" w:hanging="180"/>
              <w:jc w:val="left"/>
              <w:rPr/>
            </w:pPr>
            <w:r>
              <w:rPr/>
              <w:t> </w:t>
            </w:r>
          </w:p>
        </w:tc>
      </w:tr>
      <w:tr>
        <w:trPr/>
        <w:tc>
          <w:tcPr>
            <w:tcW w:w="39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Advertising service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ind w:left="0" w:right="0" w:hanging="180"/>
              <w:jc w:val="left"/>
              <w:rPr/>
            </w:pPr>
            <w:r>
              <w:rPr/>
              <w:t> </w:t>
            </w:r>
          </w:p>
        </w:tc>
      </w:tr>
      <w:tr>
        <w:trPr/>
        <w:tc>
          <w:tcPr>
            <w:tcW w:w="3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margin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1,281,973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1,326,528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(44,555</w:t>
            </w:r>
          </w:p>
        </w:tc>
        <w:tc>
          <w:tcPr>
            <w:tcW w:w="3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339"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Segment gross profit percentage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3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Console game, hardware,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from console games, hardware, and accessories decreased by approximately $2.8 million to approximately $7.4 million for the year ended March 31, 2025, primarily due to higher intersegment cost of revenue of approximately $6.8 million. The decrease was partially offset by higher sales volume to external customers, which increased segment gross profit by approximately $4.0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console games, hardware, and accessories decreased to 6.0% for the year ended March 31, 2025 from 11.2% for the same period in 2024, primarily due to higher intersegment cost of revenue, while external customer pricing and cost structure remained relatively stable.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from game publishing increased by approximately $10.9 million to approximately $12.6 million for the year ended March 31, 2025, primarily attributable to revenue generated from the new game title, Black Myth: Wukong.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game publishing increased to 53.2% for the year ended March 31, 2025 from 38.5% for the same period in 2024, primarily due to increased intersegment revenue of approximately $6.7 million, while external customer pricing and cost structure remained relatively stable.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from advertising services increased slightly to approximately $1.3 million for the year ended March 31, 2025 from approximately $1.3 million for the year ended March 31, 2024. The increase was primarily attributable to improved cost efficiency, partially offset by a slight decrease in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gross profit margin for advertising services increased 8.4% was mainly attributable to improved efficiency in the utilization of labor resources and production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by approximately $2.3 million, or 16.5%, to approximately $18.0 million for the year ended March 31, 2025 from approximately $15.7 million for the year ended March 31, 2024. The increase was mainly attributed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$34,000, or 1.3%, decrease in selling expense was mainly attributed to a reduction of approximately $642,000 in sales commissions and salaries as part of our efforts to improve operating efficiency in sales activities, offset by an increase of approximately $608,000 in advertising and marketing expenses as we increase spending in promoting our brand and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$2.3 million, or 17.8%, increase in general and administrative expense was mainly attributed to increase of approximately $2.6 million increase in salary expenses, travel expense, depreciation expense, software development expense, and other office related expense due to our current business expansion, approximately $1.3 million increase professional fee, primarily due to costs incurred in connection with the completion of the merger with RFAC offset by approximately $1.1 million decrease in director fee.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profit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segment profit (loss) from our reportable segments is summarized as follows:</w:t>
      </w:r>
    </w:p>
    <w:p>
      <w:pPr>
        <w:pStyle w:val="TextBody"/>
        <w:bidi w:val="0"/>
        <w:spacing w:before="0" w:after="0"/>
        <w:ind w:left="0" w:right="0" w:hanging="0"/>
        <w:jc w:val="both"/>
        <w:rPr>
          <w:caps w:val="false"/>
          <w:smallCaps w:val="false"/>
        </w:rPr>
      </w:pPr>
      <w:r>
        <w:rPr>
          <w:caps w:val="false"/>
          <w:smallCaps w:val="false"/>
        </w:rPr>
        <w:t> </w:t>
      </w:r>
    </w:p>
    <w:tbl>
      <w:tblPr>
        <w:tblW w:w="9870" w:type="dxa"/>
        <w:jc w:val="left"/>
        <w:tblInd w:w="0" w:type="dxa"/>
        <w:tblLayout w:type="fixed"/>
        <w:tblCellMar>
          <w:top w:w="0" w:type="dxa"/>
          <w:left w:w="0" w:type="dxa"/>
          <w:bottom w:w="0" w:type="dxa"/>
          <w:right w:w="0" w:type="dxa"/>
        </w:tblCellMar>
      </w:tblPr>
      <w:tblGrid>
        <w:gridCol w:w="3995"/>
        <w:gridCol w:w="90"/>
        <w:gridCol w:w="170"/>
        <w:gridCol w:w="1130"/>
        <w:gridCol w:w="125"/>
        <w:gridCol w:w="90"/>
        <w:gridCol w:w="170"/>
        <w:gridCol w:w="1010"/>
        <w:gridCol w:w="125"/>
        <w:gridCol w:w="90"/>
        <w:gridCol w:w="170"/>
        <w:gridCol w:w="1130"/>
        <w:gridCol w:w="125"/>
        <w:gridCol w:w="90"/>
        <w:gridCol w:w="95"/>
        <w:gridCol w:w="900"/>
        <w:gridCol w:w="365"/>
      </w:tblGrid>
      <w:tr>
        <w:trPr/>
        <w:tc>
          <w:tcPr>
            <w:tcW w:w="399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542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365" w:type="dxa"/>
            <w:tcBorders/>
            <w:vAlign w:val="center"/>
          </w:tcPr>
          <w:p>
            <w:pPr>
              <w:pStyle w:val="TableContents"/>
              <w:bidi w:val="0"/>
              <w:spacing w:before="0" w:after="283"/>
              <w:ind w:left="0" w:right="0" w:hanging="180"/>
              <w:jc w:val="left"/>
              <w:rPr/>
            </w:pPr>
            <w:r>
              <w:rPr/>
              <w:t> </w:t>
            </w:r>
          </w:p>
        </w:tc>
      </w:tr>
      <w:tr>
        <w:trPr/>
        <w:tc>
          <w:tcPr>
            <w:tcW w:w="3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65" w:type="dxa"/>
            <w:tcBorders/>
            <w:vAlign w:val="center"/>
          </w:tcPr>
          <w:p>
            <w:pPr>
              <w:pStyle w:val="TableContents"/>
              <w:bidi w:val="0"/>
              <w:spacing w:before="0" w:after="283"/>
              <w:ind w:left="0" w:right="0" w:hanging="180"/>
              <w:jc w:val="left"/>
              <w:rPr/>
            </w:pPr>
            <w:r>
              <w:rPr/>
              <w:t> </w:t>
            </w:r>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Console game,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(4,027,124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2,088,637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(6,115,761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(292.8</w:t>
            </w:r>
          </w:p>
        </w:tc>
        <w:tc>
          <w:tcPr>
            <w:tcW w:w="3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10,675,791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(220,800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10,896,591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(4,935.1</w:t>
            </w:r>
          </w:p>
        </w:tc>
        <w:tc>
          <w:tcPr>
            <w:tcW w:w="36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(213,510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(640,416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w:t>
            </w:r>
          </w:p>
        </w:tc>
        <w:tc>
          <w:tcPr>
            <w:tcW w:w="36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reportable segment profit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6,435,157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1,227,421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5,207,736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424.3</w:t>
            </w:r>
          </w:p>
        </w:tc>
        <w:tc>
          <w:tcPr>
            <w:tcW w:w="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Console game, hardware,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from console games, hardware, and accessories was approximately $4.0 million for the year ended March 31, 2025, compared to segment profit of approximately $2.1 million for the year ended March 31, 2024, representing a decrease of approximately $6.1 million. The decrease was primarily attributable to higher operating expenses, including increases in salary expenses, advertising and marketing expenses, and other segment operating costs, offset by increase in segment gross profit as discussed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profit from game publishing increased significantly to approximately $10.7 million for the year ended March 31, 2025 from a segment loss of approximately $0.2 million for the year ended March 31, 2024, representing an increase of approximately $10.9 million. The increase was primarily attributable to the higher segment gross profit discussed above, as well as decreases in advertising and marketing expenses and provision for credit losses. These increases were partially offset by higher salary expenses associated with the expansion of the game publishing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from advertising services decreased to approximately $0.2 million for the year ended March 31, 2025 from approximately $0.6 million for the year ended March 31, 2024, representing an improvement of approximately $0.4 million. The decrease in segment loss was primarily attributable to lower operating expenses during the current period, including reductions in salary expenses, provision for credit losses, and amortization and depreciation expenses, reflecting improved cost control and operational efficiency within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2025 and 2024, we have other income, net amounted to approximately $2.9 million and $0.5 million, respectively, representing an increase of approximately $2.4 million or 504.8%. The increase was attributable to recognition of approximately $4.9 million gain from change in fair value of convertible notes and derivative liabilities, while offset by approximately $0.4 million decrease in other income, net, which was primarily due to the decrease of marketing revenue recognized from our vendor who compensated our marketing expense incurred from prior period, approximately $1.8 million increase in interest expense due to increased debt financing in current period and approximately $1.6 million of finance cost related to debt issuance cost from issuance of the convertible notes, and approximately $0.3 million increase in loss from change in fair value of consideration payable related to 2Game acquisition from prior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by approximately $1.1 million, or 2017.9%, to approximately $1.1 million for the year ended March 31, 2025, compared to approximately $53,000 for the same period in 2024. This increase was primarily attributable to (i) an increase of approximately $0.6 million in current income tax expense resulting from higher taxable income in the current period, and (ii) a decrease of approximately $0.4 million in deferred income tax benefit due to the utilization of previously recognized deferred tax assets against current taxable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income of approximately $5.0 million for the year ended March 31, 2025, while we have a net loss of approximately $2.0 million for the same period in 2024, representing a change of approximately $7.0 million, or 357.5%. Such change mainly was a direct outcome of the reasons discussed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5B. 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we monitor and analyze our cash on-hand and our operating and capital expenditure commitments. Our liquidity needs are to meet our working capital requirements, operating expenses, and capital expenditure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$26.2 million and cash outflow from our operating activities of approximately $10.5 million for the year ended March 31, 2026. Our accumulated deficit and working capital were approximately $7.5 million and $42.9 million, respectively, as of March 31, 2026. To support our business operation for the next twelve months, we had cash and cash equivalents, and restricted cash amounted to approximately $39.3 million as of March 31, 2026, and accounts receivable, net amounted to approximately $36.7 million which is short-term in nature that we expect to collect within our normal business cycle. Meanwhile, we also utilized debt financing in the form of short- term, convertible note, or long-term borrowings from banking facilities, and accredited investors to finance the working capital requirements of the Company. As of March 31, 2026, we have utilized short-term and long-term borrowings from banking facilities amounted to approximately $21.7 million and $32.3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2025 to August 2025, we entered into Securities Purchase Agreements with an investor for the issuance of senior unsecured convertible notes in the aggregate principal amount of approximately $5.4 million, issued at an original issue discount for net proceeds of approximately $4.9 million. The agreement also provides the investor with the right to purchase up to an additional $40.1 million in convertible notes (for net proceeds of approximately $36.1 million) in specified increments, which may provide us additional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October 13, 2025, our subsidiary, 4Divinity SG, entered into a share subscription agreement with an accredited investor, pursuant to which the investor agreed to subscribe for 1,200,000 newly issued ordinary shares at a subscription price of $2.50 per share, for an aggregate consideration of $3,000,000. Upon completion of the subscription, the accredited investor held 1.2% equity interest in 4Divinity SG.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we entered into a banking facility letter with a financial institution in providing a committed term loan facility of up to $2,500,000 for general working capital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operations are highly dependent on a combination of factors, including but not necessarily limited to changes in the demand for our products or services, local government policy, economic conditions, and competition in the gaming industries. However, based on the above considerations, our management is of the opinion that it has sufficient funds to meet our working capital requirements and current liabilities as they become due one year from the date of issuance of these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key components of our cash flows for the year ended March 31, 2026, 2025, and 2024.</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5390"/>
        <w:gridCol w:w="90"/>
        <w:gridCol w:w="170"/>
        <w:gridCol w:w="1205"/>
        <w:gridCol w:w="125"/>
        <w:gridCol w:w="90"/>
        <w:gridCol w:w="170"/>
        <w:gridCol w:w="1205"/>
        <w:gridCol w:w="125"/>
        <w:gridCol w:w="90"/>
        <w:gridCol w:w="170"/>
        <w:gridCol w:w="1010"/>
        <w:gridCol w:w="170"/>
      </w:tblGrid>
      <w:tr>
        <w:trPr/>
        <w:tc>
          <w:tcPr>
            <w:tcW w:w="53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7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pPr>
            <w:r>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(10,496,806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(10,308,634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1,316,296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shd w:fill="FFFFFF" w:val="clear"/>
            <w:vAlign w:val="center"/>
          </w:tcPr>
          <w:p>
            <w:pPr>
              <w:pStyle w:val="TableContents"/>
              <w:bidi w:val="0"/>
              <w:spacing w:before="0" w:after="283"/>
              <w:jc w:val="both"/>
              <w:rPr/>
            </w:pPr>
            <w:r>
              <w:rPr/>
              <w:t>Net cash used in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(18,233,843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(6,342,398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(780,624</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390" w:type="dxa"/>
            <w:tcBorders/>
            <w:shd w:fill="CCEEFF" w:val="clear"/>
            <w:vAlign w:val="center"/>
          </w:tcPr>
          <w:p>
            <w:pPr>
              <w:pStyle w:val="TableContents"/>
              <w:bidi w:val="0"/>
              <w:spacing w:before="0" w:after="283"/>
              <w:jc w:val="both"/>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46,874,324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33,557,446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135,236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shd w:fill="FFFFFF" w:val="clear"/>
            <w:vAlign w:val="center"/>
          </w:tcPr>
          <w:p>
            <w:pPr>
              <w:pStyle w:val="TableContents"/>
              <w:bidi w:val="0"/>
              <w:spacing w:before="0" w:after="283"/>
              <w:jc w:val="both"/>
              <w:rPr/>
            </w:pPr>
            <w:r>
              <w:rPr/>
              <w:t>Effect of exchange rate changes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(203,722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138,564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(168,777</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390" w:type="dxa"/>
            <w:tcBorders/>
            <w:shd w:fill="CCEEFF" w:val="clear"/>
            <w:vAlign w:val="center"/>
          </w:tcPr>
          <w:p>
            <w:pPr>
              <w:pStyle w:val="TableContents"/>
              <w:bidi w:val="0"/>
              <w:spacing w:before="0" w:after="283"/>
              <w:jc w:val="both"/>
              <w:rPr/>
            </w:pPr>
            <w:r>
              <w:rPr/>
              <w:t>Net change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17,939,953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17,044,978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502,131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$10.5 million for the year ended March 31, 2026. The net cash used in operating activities was primarily attributable to (i) approximately $26.2 million net loss; (ii) approximately $0.4 million of non-cash items related to deferred taxes benefits; (iii) an approximately $9.3 million increase in prepayments to third-party and related-party vendors due to higher advance payments made to secure purchases; (iv) an approximately $7.5 million decrease in accounts payable and accounts payable to related parties as the Company made timely payments to vendors; and (v) approximately $1.6 million of operating lease payments. The cash outflows were partially offset by (a) approximately $17.1 million of non-cash items, including depreciation and amortization, provisions for credit losses and doubtful accounts, changes in the fair value of investments in convertible notes and derivative assets and liabilities, and stock-based compensation; (b) an approximately $3.9 million decrease in accounts receivable due to timely collection; (c) an approximately $3.2 million net decrease in inventories and indefinite-lived intangible assets; (d) an approximately $6.7 million increase in contract liabilities resulting from higher customer deposits received for future purchases; and (e) an approximately $3.6 million increase in other payables and accrued liabilities resulting from additional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$10.3 million for the year ended March 31, 2025. The net cash used in operating activities was primarily attributable to (i) approximately $6.6 million increase in accounts receivable, as a result of increase in our revenue, (ii) approximately $7.5 million increase in indefinite-lived intangible assets as we as we maintain more console game code for resale, (iii) approximately $1.1 million increase in other receivables and other current assets due to payment of advertising fees on behalf of a vendor and other prepaid expenses such as D&amp;O insurance, (iv) approximately $0.9 million decrease of operating lease liabilities as we remit timely payment in accordance with lease contract during the period, (v) approximately $1.0 million increase in inventories, as we maintained more inventories for resale due to demand of our products, (vi) approximately $3.6 million increase in prepayment to our vendors and related party as we made more advance payments to vendors to secure our purchases approximately, (vii) approximately $11.9 million decrease in other payables and accrued liabilities as make timely payments for accrued expense, (viii) approximately $2.0 million decrease in account payable, a related party, as we made timely payment to related party for purchasing, and (ix) approximately $4.7 million non-cash item of recovery from credit loss, deferred tax benefit, and change in fair value of convertible notes and derivative liabilities, offset by (a) net income of approximately $5.0 million, (b) approximately $2.9 million of non-cash items such as deprecation of property and equipment, amortization of intangible assets, amortization of right of use assets, and change in fair value of acquisition payable, (c) approximately $21.0 million increase in accounts payable, as our third party granted us credit terms to allow us additional liquidity and flexibility in managing short-term cash flow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$1.3 million for the year ended March 31, 2024. The net cash provided by operating activities was primarily attributable to (i) approximately $3.2 million in non-cash items which included depreciation expense, amortization expense, provision for credit loss, loss from disposal of properties and equipment, and change in fair value of contingent consideration for acquisition, (ii) approximately $3.7 million decrease in indefinite-lived intangible assets as a result of increased revenue from sales for console game code, (iii) approximately $1.0 million increase in accounts payable including related party as we increase our purchase on account to meet with the demand of our product, (iv) approximately $2.5 million increase in other payable and accrued liabilities as we incurred more accrued expense related to our operations, and (v) approximately $0.3 million decrease in other receivable to other current asset as more prepaid expense and prepaid income tax were utilized in current period, and we collect more balance due from vendor for marketing expense paid on behalf from prior period, offset by (a) approximately $2.0 million net loss, (b) approximately $0.7 million increases in deferred tax benefit as we have more net operating loss that can be utilized for offset taxable income, (c) approximately $0.7 million increase in accounts receivable as a result of increase in our revenue, (d) approximately $1.6 million increase in inventories as we maintain higher inventory level to meet with the demand, (e) approximately $3.4 million increase in prepayment to our vendors as we made more advance payments to vendors to secure our purchases, and (f) approximately $0.8 million decrease in operating lease liability as we remit timely payment in accordance with lease contract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$18.2 million for the year ended March 31, 2026 and was attributable to $14.3 million cash consideration paid in acquisition of Ban Leong and its subsidiaries, approximately $1.2 million in cash used in purchase of equipment, approximately $0.4 million loan to third party and approximately $2.5 million cash payment in connection with investment in Nekcom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$6.3 million for the year ended March 31, 2025 and was attributable to approximately $0.2 million in cash used in purchase of equipment, approximately $0.4 million payment related to achievement of tranche 3 of the contingent consideration in connection with the 2Game acquisition, approximately $0.4 million loan to third party and approximately $5.4 million cash payment in connection with investment in Nekcom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$0.8 million for the year ended March 31, 2024 and was attributable to approximately $0.3 million in cash used in purchase of equipment and approximately $0.5 million payment related to achievement of tranche 3 of contingent consideration in connection with the 2Game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$46.9 million for the year ended March 31, 2026 and was primarily attributable to (i) approximately $56.1 million proceed received from bank loans; (ii) approximately $23.0 million proceeds from non-controlling interest; (iii) approximately $4.9 million proceeds from convertible notes; (iv) approximately $2.5 million proceed received from share subscription; and (v) approximately $0.2 million loan from related parties; offset by (a) approximately $14.0 million bank loans repayments; (b) approximately $0.2 million of principal payments for finance lease; (c) approximately $24.8 million cash payment in connection of acquiring additional controlling interest in Ban Leong and its subsidiaries, and (d) approximately $0.8 million payment of debt issuance cost in connection with bank loan and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$33.6 million for the year ended March 31, 2025 and was primarily attributable to (i) approximately $31.7 million proceed received from bank loans; (ii) approximately $33.0 million proceeds from convertible notes, and (iii) approximately $0.6 million proceed received from reverse recapitalization; offset by (a) approximately $28.8 million bank loans repayments; (b) approximately $0.7 million in payments for deferred merger costs, (c) approximately $1.6 million repayments to related parties loan, (d) approximately $63,000 of principle payments for finance lease, and (e) approximately $0.6 million cash payment in connection of acquiring additional controlling interest in 2game.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$0.1 million for the year ended March 31, 2024 and was primarily attributable to (i) approximately $24.2 million proceed received from bank loans; (ii) approximately $4.0 million loan from related parties; offset by (a) approximately $25.4 million bank loans repayments; (b) approximately $0.9 million in payments for deferred merger costs, (c) approximately $1.4 million advance to related parties, (d) approximately $0.2 million in principle payments, and (e) approximately $0.2 million payment to a shareholder as redemption of ordinary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are subject to loss contingencies, such as legal proceedings and claims arising out of our business, that cover a wide range of matters, including, among others, government investigations and tax matters. In accordance with FASB ASC No. 450-20, “Loss Contingencies”, we will record accruals for such loss contingencies when it is probable that a liability has been incurred and the amount of loss can be reasonably estimated. For the years ended March 31, 2026, 2025 and 2024, we did not record any accruals for loss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contractual obligations as of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5"/>
        <w:gridCol w:w="90"/>
        <w:gridCol w:w="170"/>
        <w:gridCol w:w="1130"/>
        <w:gridCol w:w="90"/>
        <w:gridCol w:w="90"/>
        <w:gridCol w:w="170"/>
        <w:gridCol w:w="1130"/>
        <w:gridCol w:w="90"/>
        <w:gridCol w:w="90"/>
        <w:gridCol w:w="170"/>
        <w:gridCol w:w="1130"/>
        <w:gridCol w:w="90"/>
        <w:gridCol w:w="90"/>
        <w:gridCol w:w="170"/>
        <w:gridCol w:w="1010"/>
        <w:gridCol w:w="90"/>
        <w:gridCol w:w="90"/>
        <w:gridCol w:w="503"/>
        <w:gridCol w:w="371"/>
        <w:gridCol w:w="136"/>
      </w:tblGrid>
      <w:tr>
        <w:trPr/>
        <w:tc>
          <w:tcPr>
            <w:tcW w:w="330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674"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Payments due by period</w:t>
            </w:r>
          </w:p>
        </w:tc>
        <w:tc>
          <w:tcPr>
            <w:tcW w:w="136" w:type="dxa"/>
            <w:tcBorders/>
            <w:vAlign w:val="center"/>
          </w:tcPr>
          <w:p>
            <w:pPr>
              <w:pStyle w:val="TableContents"/>
              <w:bidi w:val="0"/>
              <w:spacing w:before="0" w:after="283"/>
              <w:ind w:left="0" w:right="0" w:hanging="180"/>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Contractual obligations</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1 - 3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3 - 5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136"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loans, current maturities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21,715,464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21,715,464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loan, non-current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32,265,166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29,237,239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3,027,927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FFFFFF" w:val="clear"/>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related parties,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obligations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3,454,475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1,663,735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1,755,363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35,377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FFFFFF" w:val="clear"/>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253,612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58,885,389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24,528,891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31,246,214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3,110,284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 in publishing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18, 2024, we, through our subsidiary 4Divinity SG, entered into a Publishing Agreement with Nekcom Private Limited and its PRC affiliate (collectively, “Nekcom”), pursuant to which 4Divinity SG was appointed as the global publisher and distributor of the video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(the “Licensed Game”) for all platforms and territories, excluding certain regions previously licensed to other parties. Under the terms of the agreement, 4Divinity SG committed to a fully recoupable minimum sales guarantee of $5,000,000, payable in tranches as defined in the agreement. In addition, 4Divinity SG agreed to furnish a non-recoupable marketing budget of $5,000,000, which will be used to support global marketing efforts for the Licensed Game. As of March 31, 2026, we had paid $5,000,000 of the minimum sales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2026, 2025 and 2024, we purchased approximately $1.2 million, $0.2 million, and $0.3 million, respectively, of equipment mainly for the use in our business daily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consolidated financial statements, which are prepared and presented in accordance with U.S. GAAP, we use the following non-GAAP financial measures for our consolidated results: EBITDA which represents net income (loss) before interest expense, provision for income taxes, depreciation and amortization expenses. We believe that EBITDA helps understand and evaluate our core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represent net income, as that term is defined under GAAP, and should not be considered as an alternative to net income (loss) as an indicator of our operating performance. Additionally, EBITDA is not intended to be measures of free cash flow available for management or discretionary use as such measures do not consider certain cash requirements such as capital expenditures, tax payments and debt service requirements. In light of the foregoing limitations, you should not consider EBITDA as substitutes for, or superior to, net income (loss) prepared in accordance with U.S. GAAP. We encourage our shareholders and investors and others to review its financial information in its entirety and not rely on any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presented to enhance GCL investors’ overall understanding of our financial performance and should not be considered a substitute for, or superior to, the financial information prepared and presented in accordance with U.S. GAAP. Investors are encouraged to review the reconciliation of the historical non-GAAP financial measures to their most directly comparable GAAP financial measures. As EBITDA has material limitations as analytical metrics and may not be calculated in the same manner by all companies, they may not be comparable to other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830"/>
        <w:gridCol w:w="90"/>
        <w:gridCol w:w="90"/>
        <w:gridCol w:w="1205"/>
        <w:gridCol w:w="125"/>
        <w:gridCol w:w="90"/>
        <w:gridCol w:w="90"/>
        <w:gridCol w:w="1130"/>
        <w:gridCol w:w="90"/>
        <w:gridCol w:w="90"/>
        <w:gridCol w:w="90"/>
        <w:gridCol w:w="1085"/>
        <w:gridCol w:w="170"/>
      </w:tblGrid>
      <w:tr>
        <w:trPr/>
        <w:tc>
          <w:tcPr>
            <w:tcW w:w="38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March 31,</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70" w:type="dxa"/>
            <w:tcBorders/>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(26,203,221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5,049,421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(1,960,956</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3,039,054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2,255,934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507,803</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239,753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4,018,456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2,369,036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2,371,718</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(18,905,958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10,803,063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971,856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arrangements including arrangements that would affect our liquidity, capital resources, market risk support and credit risk support or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5C. Research and Development, Patents and Licenses,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5D. Trend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and below, we are not aware of any trends, uncertainties, demands, commitments or events that are reasonably likely to have a material effect on our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5E. 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accompanying notes have been prepared in accordance with U.S. GAAP. The preparation of these financial statements and accompanying notes requires us to make estimates and judgments that affect the reported amounts of assets, liabilities, revenues and expenses, and related disclosure of contingent assets and liabilities. Estimates are based on historical experience and on various other assumptions that are believed to be reasonable under the circumstances, the results of which form the basis of making judgments about the carrying values of assets and liabilities that are not readily apparent from other sources. Certain accounting estimates are particularly sensitive because of our significance to financial statements and because of the possibility that future events affecting the estimate may differ significantly from management’s current judgments. We believe that the following accounting estimates are critical to our business operations and understanding our consolidated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consideration for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determined that the contingent consideration related to the 2Game acquisition should be classified as a liability, as we are obligated to settle the arrangement in cash or shares upon 2Game’s achievement of certain performance milestones.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we initially recognized the contingent consideration at fair value and remeasure it at each reporting date. We continue to adjust the carrying amount until the contingency is resolved. Any changes in fair value are recognized as a gain or loss in our consolidated statements of operations and comprehensive income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for acquisition was valued at the time of acquisition and March 31, 2025 and 2024, using unobservable inputs and the undiscounted cash flow methodology. The determination of the fair value is based on discounted cash flows, the key assumptions take into consideration the probability of meeting each performance target and the discount factor. As of the acquisition date of 2Game, the fair value of the contingent consideration for acquisition was determined to be approximately $3.4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change of fair value of the contingent consideration for acquisition was amounted to a gain of approximately $0.2 million for the year ended March 31, 2026, and a loss of approximately $0.5 million and $0.3 million for the year ended March 31, 2025 and 2024, respectively. As of March 31, 2026 and 2025, the contingent consideration for acquisition amounted to nil and approximately $1.1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and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convertible notes issued in connection with the Business Combination contained multiple embedded features, including conversion rights and a Top-Up Share provision. Because our ordinary shares were not publicly traded at the time of issuance, the embedded features did not meet the net settlement criterion under ASC 815. As such, we accounted for the entire instrument as a hybrid financial instrument measured at fair value, with changes in fair value recognized in our consolidated statements of operations and comprehensive income (loss) until conversion. Upon the conversion of the notes into equity on February 13, 2025, the embedded features were detached and separately evaluated.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we determined that the fair value of the convertible notes approximated their carrying amount. The fair value was subsequently remeasured as of February 12, 2025 using a probability-weighted scenario analysis that considered expected outcomes associated with the conversion feature. Key inputs included the number of shares issuable upon conversion, the fair value of our ordinary shares at the measurement date, and relevant discount factors. The fair value of the convertible notes as of February 12, 2025 was approximately $25.0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concluded that the Top-Up Share feature met the definition of a derivative liability under ASC 815-40 due to its variable settlement structure and the fact that it was not considered indexed to our own stock. Accordingly, we accounted for the Top-Up Share provision as a standalone derivative liability, which is measured at fair value upon initial recognition and remeasured at each reporting date until settlement or expiration. Changes in fair value are recognized in our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Top-Up Share liability was valued as of February 12, 2025 and March 31, 2025, using a Monte Carlo simulation model based on unobservable inputs. The fair value measurement incorporated key assumptions, including our stock price, expected volatility, holding period, and the risk-free interest rate. As the conversion date occurred shortly before our March 31, 2025 reporting date and no material changes in valuation inputs were identified, we did not record a significant change in fair value between the two measurement dates. The Top-Up Share liability was recorded at approximately $2.7 million as of the conversion date and $16.2 million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annual goodwill impairment test by comparing the fair value of a reporting unit with its carrying amount. For the year ended March 31, 2025, management evaluated the recoverability of goodwill by performing qualitative assessment on its reporting units and determined that it is less likely than not that the fair value of the reporting unit is less than its carrying amount, and therefore, no impairment loss on goodwill was recognized for the year ended March 31, 2025. For the years ended March 31, 2026 and 2024, management evaluated the recoverability of goodwill by comparing the fair value of a reporting unit with its carrying amount. We had engaged a third-party appraiser to assess the fair value of the console game, hardware, computer accessories, and other multi-media products reporting unit by applying income approach which considers the present value of the console game, hardware, computer accessories, and other multi-media products reporting unit’s future after-tax cash flows, discounting them to present value using a 12.5% and 13.0% discount rate for the years ended March 31, 2026 and 2024. As a result, the fair value of the game distributing reporting unit’s fair value exceeds its carrying value, and therefore, no impairment loss on goodwill was recognized for the years ended March 31, 2026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the consolidated financial statements included elsewhere in this annual report for a discussion of recently issued accounting standards.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Report. Our board is comprised of six directors.</w:t>
      </w:r>
    </w:p>
    <w:p>
      <w:pPr>
        <w:pStyle w:val="TextBody"/>
        <w:bidi w:val="0"/>
        <w:spacing w:before="0" w:after="0"/>
        <w:ind w:left="0" w:right="0" w:firstLine="360"/>
        <w:jc w:val="both"/>
        <w:rPr>
          <w:caps w:val="false"/>
          <w:smallCaps w:val="false"/>
        </w:rPr>
      </w:pPr>
      <w:r>
        <w:rPr>
          <w:caps w:val="false"/>
          <w:smallCaps w:val="false"/>
        </w:rPr>
        <w:t> </w:t>
      </w:r>
    </w:p>
    <w:tbl>
      <w:tblPr>
        <w:tblW w:w="9990" w:type="dxa"/>
        <w:jc w:val="left"/>
        <w:tblInd w:w="0" w:type="dxa"/>
        <w:tblLayout w:type="fixed"/>
        <w:tblCellMar>
          <w:top w:w="0" w:type="dxa"/>
          <w:left w:w="0" w:type="dxa"/>
          <w:bottom w:w="28" w:type="dxa"/>
          <w:right w:w="0" w:type="dxa"/>
        </w:tblCellMar>
      </w:tblPr>
      <w:tblGrid>
        <w:gridCol w:w="2360"/>
        <w:gridCol w:w="90"/>
        <w:gridCol w:w="380"/>
        <w:gridCol w:w="90"/>
        <w:gridCol w:w="7070"/>
      </w:tblGrid>
      <w:tr>
        <w:trPr/>
        <w:tc>
          <w:tcPr>
            <w:tcW w:w="2360"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36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Executive Officers</w:t>
            </w: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Jacky Choo See Wee</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Group Chairman, Chief Executive Officer of Epicsoft Asia and 4Divinity and Director </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Sebastian Toke Hong Ta</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Group Chief Executive Officer and 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Liu Min Tzau</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Deputy Chief Executive Officer and Group Chief Marketing Officer</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Kenny Lin Yuxin</w:t>
            </w:r>
            <w:r>
              <w:rPr>
                <w:rFonts w:ascii="Times New Roman;Times;Serif" w:hAnsi="Times New Roman;Times;Serif"/>
                <w:b w:val="false"/>
                <w:i w:val="false"/>
                <w:caps w:val="false"/>
                <w:smallCaps w:val="false"/>
                <w:position w:val="7"/>
                <w:sz w:val="16"/>
                <w:sz w:val="20"/>
              </w:rPr>
              <w:t>(1)</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Chief Financial Officer</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Choo See Ling</w:t>
            </w:r>
            <w:r>
              <w:rPr>
                <w:rFonts w:ascii="Times New Roman;Times;Serif" w:hAnsi="Times New Roman;Times;Serif"/>
                <w:b w:val="false"/>
                <w:i w:val="false"/>
                <w:caps w:val="false"/>
                <w:smallCaps w:val="false"/>
                <w:position w:val="7"/>
                <w:sz w:val="16"/>
                <w:sz w:val="20"/>
              </w:rPr>
              <w:t>(2)</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Chief Operating Officer and Director</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Non-independent Directors:</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Jacky Choo See Wee</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Sebastian Toke Hong Ta</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Choo See Ling</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Directors:</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Tse Meng Ng</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3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W. Wang</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3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Kewei Cui</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290"/>
        <w:gridCol w:w="66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Lin joined GCL as its Group Chief Financial Officer on April 21, 2025.</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Choo started her role as the Group Chief Operating Officer on April 21,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Jacky Choo See Wee</w:t>
      </w:r>
      <w:r>
        <w:rPr>
          <w:rFonts w:ascii="Times New Roman;Times;Serif" w:hAnsi="Times New Roman;Times;Serif"/>
          <w:b w:val="false"/>
          <w:i w:val="false"/>
          <w:caps w:val="false"/>
          <w:smallCaps w:val="false"/>
          <w:sz w:val="20"/>
        </w:rPr>
        <w:t xml:space="preserve"> has served as our Group Chairman since February 13, 2025. Mr. Choo is a veteran with over 20 years of experience in the video game industry. He is widely recognized in the industry for his deep understanding of gaming trends, technology, and market dynamics. Mr. Choo has been serving in multiple executive and decision making positions within the GCL Group and other private companies in the industry since 2005. Most recently, Mr. Choo has been the Chairman for GCL BVI since December 2018, where he directs and executes the Company’s vision, strategically expands a portfolio of gaming-related and social media entities, diversifies the Company’s offerings and enhances its market presence, and leads expansions both geographically and horizontally across platforms. Mr. Choo has also been the Director and CEO of Epicsoft Asia since September 2014, where he spearheads the company’s expansion of video game distribution operations into multiple regions, achieving year-on-year growth in both revenue and market presence. He forged strategic partnerships with international game developers and publishers such as Take-Two, CD Projekt Red, Warner Bros. Games and SEGA, enriching the company’s game catalog and bolstering market competitiveness. He successfully led the digital transformation of the company’s business, expanding into the digital game distribution space, capitalizing on emerging trends, and reaching new markets. Mr. Choo also serves as a Director for Epicsoft Malaysia, 4Divinity, Martiangear, and other companies within the GCL Group. Mr. Choo received a Bachelor’s degree in Chemical Engineering from National University of Singapore in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Sebastian Toke Hong Ta</w:t>
      </w:r>
      <w:r>
        <w:rPr>
          <w:rFonts w:ascii="Times New Roman;Times;Serif" w:hAnsi="Times New Roman;Times;Serif"/>
          <w:b w:val="false"/>
          <w:i w:val="false"/>
          <w:caps w:val="false"/>
          <w:smallCaps w:val="false"/>
          <w:sz w:val="20"/>
        </w:rPr>
        <w:t xml:space="preserve"> has served as our Group Chief Executive Officer and director since February 13, 2025. Mr. Toke has been serving as the Group CEO of GCL Global since February 2023, where he manages GCL Group’s business, overseeing all key business verticals, and makes strategic decisions in collaboration with senior management and our Group Chairman. Mr. Toke is responsible for driving GCL Group’s growth and diversification initiatives to ensure its financial health and sustainability. Prior to joining GCL Group, Mr. Toke was the Head of Investments at Impecca Ventures from May 2022 to January 2023, where he led the overall investment strategy for the investment portfolio across both public and private markets. From February 2021 to April 2022, Mr. Toke was the Asia Head of Fixed Income for Nomura Securities where he was responsible for driving the fixed income business across Asia within the wealth management platform across trading, research and advisory. From August 2014 to January 2021, he served in a Fixed Income Advisory role at BNP Paribas, where he helped formulate BNP Paribas’ wealth management fixed income strategy and drive regional investments in fixed income credits and structured products. Mr. Toke received Bachelor Degree of Economics and Finance at the Royal Melbourne Institute of Technology in Australia.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Keith Liu Min Tzau</w:t>
      </w:r>
      <w:r>
        <w:rPr>
          <w:rFonts w:ascii="Times New Roman;Times;Serif" w:hAnsi="Times New Roman;Times;Serif"/>
          <w:b w:val="false"/>
          <w:i w:val="false"/>
          <w:caps w:val="false"/>
          <w:smallCaps w:val="false"/>
          <w:sz w:val="20"/>
        </w:rPr>
        <w:t xml:space="preserve"> has served as our Group Deputy CEO and Group Chief Marketing Officer since February 13, 2025. Mr. Liu has been serving as the Deputy CEO of GCL Global since February 2024, and GCL Global’s Group Chief Marketing Officer and Head of Publishing since April 2020, where he leads, plans and executes marketing campaigns, including 360 campaign activations for PC and console titles across multiple channels including digital, social media, influencers, PR and traditional media. He collaborates with global game publishers and studios, and manages game releases on digital platforms such as Valve’s Steam, Microsoft’s Xbox and Sony’s PlayStation Network. From June 2016 to March 2020, Mr. Liu worked as Director for Asia Pacific region at Wilson Electronics where he started up its Singapore regional headquarters to introduce and legalize America’s top-selling cellular repeaters to Asian countries. Mr. Liu received his Bachelor’s Degree of Communications from University Science Malaysia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Kenny Lin Yuxin </w:t>
      </w:r>
      <w:r>
        <w:rPr>
          <w:rFonts w:ascii="Times New Roman;Times;Serif" w:hAnsi="Times New Roman;Times;Serif"/>
          <w:b w:val="false"/>
          <w:i w:val="false"/>
          <w:caps w:val="false"/>
          <w:smallCaps w:val="false"/>
          <w:sz w:val="20"/>
        </w:rPr>
        <w:t>has served as our Group CFO since April 21, 2025. Mr. Lin has over 15 years of financial management, accounting and strategic leadership experience. Immediately prior to joining GCL, Mr. Lin was the Finance Director of Kacific Broadband Satellites Ltd. and has held that position since July 2024. From October 2021 to April 2024, he was the Chief Financial Officer of Pegasus Asia, a Singapore-listed special purpose acquisition company. From June 2019 to October 2021, Mr. Lin was the Finance and Investment Manager of SIN Capital Group Pte Ltd, a private investment company in Singapore. From February 2016 to January 2019, Mr. Lin was the Group Finance Manager of Soilbuild Construction Group Limited, a Singapore-listed company. Prior to that, he was Senior Auditor at two large public accounting firms in Singapore. Mr. Lin holds a Master of Business Administration from University of Newcastle in Australia. He is also a Chartered Accountant of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Catherine Choo See Ling</w:t>
      </w:r>
      <w:r>
        <w:rPr>
          <w:rFonts w:ascii="Times New Roman;Times;Serif" w:hAnsi="Times New Roman;Times;Serif"/>
          <w:b w:val="false"/>
          <w:i w:val="false"/>
          <w:caps w:val="false"/>
          <w:smallCaps w:val="false"/>
          <w:sz w:val="20"/>
        </w:rPr>
        <w:t xml:space="preserve"> has served as our Group Chief Operating Officer since April 21, 2025. Ms. Choo is Mr. Jacky Choo See Wee’s sister. Immediately prior to that, Ms. Choo served as GCL Group’s Human Resources Director and Epicsoft Asia’s Human Resources Director starting in January 2020. She collaborates with other senior executives to ensure that human resource strategies support overall business objectives, and oversees talent acquisition, recruitment, and deployment strategies. Ms. Choo has been serving on the board of directors of GCL Global Pte. Ltd. since August 16, 2024, and the board of directors of Epicsoft Ventures Pte. Ltd. since June 30, 2021. Between February 2021 and May 2023, Ms. Choo served on the board of directors of a few other private companies including, Go Game Pte. Ltd., Why Kids Ptd. Ltd., and 4Divinity Pte. Ltd. From June 2003 through December 2019, Ms. Choo served as a Senior Education Officer in the Singapore Ministry of Education.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Jacky Choo See Wee</w:t>
      </w:r>
      <w:r>
        <w:rPr>
          <w:rFonts w:ascii="Times New Roman;Times;Serif" w:hAnsi="Times New Roman;Times;Serif"/>
          <w:b w:val="false"/>
          <w:i w:val="false"/>
          <w:caps w:val="false"/>
          <w:smallCaps w:val="false"/>
          <w:sz w:val="20"/>
        </w:rPr>
        <w:t xml:space="preserve"> is a member of our board of directors. For more information about Mr. Choo, see “</w:t>
      </w:r>
      <w:r>
        <w:rPr>
          <w:rFonts w:ascii="Times New Roman;Times;Serif" w:hAnsi="Times New Roman;Times;Serif"/>
          <w:b w:val="false"/>
          <w:i/>
          <w:caps w:val="false"/>
          <w:smallCaps w:val="false"/>
          <w:sz w:val="20"/>
        </w:rPr>
        <w:t>Management - 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Sebastian Toke Hong Ta</w:t>
      </w:r>
      <w:r>
        <w:rPr>
          <w:rFonts w:ascii="Times New Roman;Times;Serif" w:hAnsi="Times New Roman;Times;Serif"/>
          <w:b w:val="false"/>
          <w:i w:val="false"/>
          <w:caps w:val="false"/>
          <w:smallCaps w:val="false"/>
          <w:sz w:val="20"/>
        </w:rPr>
        <w:t xml:space="preserve"> is a member of our board of directors. For more information about Mr. Toke, see “</w:t>
      </w:r>
      <w:r>
        <w:rPr>
          <w:rFonts w:ascii="Times New Roman;Times;Serif" w:hAnsi="Times New Roman;Times;Serif"/>
          <w:b w:val="false"/>
          <w:i/>
          <w:caps w:val="false"/>
          <w:smallCaps w:val="false"/>
          <w:sz w:val="20"/>
        </w:rPr>
        <w:t>Management  - 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Catherine Choo See Ling</w:t>
      </w:r>
      <w:r>
        <w:rPr>
          <w:rFonts w:ascii="Times New Roman;Times;Serif" w:hAnsi="Times New Roman;Times;Serif"/>
          <w:b w:val="false"/>
          <w:i w:val="false"/>
          <w:caps w:val="false"/>
          <w:smallCaps w:val="false"/>
          <w:sz w:val="20"/>
        </w:rPr>
        <w:t xml:space="preserve"> is a member of our board of directors. For more information about Ms. Choo, see “</w:t>
      </w:r>
      <w:r>
        <w:rPr>
          <w:rFonts w:ascii="Times New Roman;Times;Serif" w:hAnsi="Times New Roman;Times;Serif"/>
          <w:b w:val="false"/>
          <w:i/>
          <w:caps w:val="false"/>
          <w:smallCaps w:val="false"/>
          <w:sz w:val="20"/>
        </w:rPr>
        <w:t>Management - 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Tse Meng Ng</w:t>
      </w:r>
      <w:r>
        <w:rPr>
          <w:rFonts w:ascii="Times New Roman;Times;Serif" w:hAnsi="Times New Roman;Times;Serif"/>
          <w:b w:val="false"/>
          <w:i w:val="false"/>
          <w:caps w:val="false"/>
          <w:smallCaps w:val="false"/>
          <w:sz w:val="20"/>
        </w:rPr>
        <w:t xml:space="preserve"> has been a member of our board of directors since February 13, 2025. Since September 2025, Mr. Ng has been the Chairman and Chief Executive Officer of RF Acquisition Corp. III, a special purpose acquisition company that consummated a $100 million initial public offering in February 2026. Since February 2024, he has been the Chairman and Chief Executive Officer of RF Acquisition II, a special purpose acquisition company that consummated a $150 million initial public offering in May 2024 and executed a definitive agreement for its initial business combination with Nanyang Biologics Pte. Ltd. in October 2025. From January 2021 to February 2025, Mr. Ng was the Chairman and Chief Executive Officer of RFAC. In February 2019, Mr. Ng co-founded Ruifeng Wealth Management Pte Ltd, a Singapore Capital Markets Services licensed financial institution regulated by the Monetary Authority of Singapore with a market capitalization of approximately $2 billion, for which he serves as the chairman. There, Mr. Ng and his team provide fund management services to ultra-high net worth individuals. From May 2014 to January 2019, Mr. Ng served as the Managing Director of Credit Agricole, an international full-service banking group. He was voted ‘Outstanding Young Private Banker’ in 2011 by Private Banker International, a leading journal for the global wealth management industry. Prior to that, Mr. Ng was a Director at Credit Suisse where he helped form the team that covered the North Asia markets. He started his career in 1998 at Citibank N.A where he managed a team of banking staff. Mr. Ng earned a B.S. in Business from Nanyang Technological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Wilson W. Wang</w:t>
      </w:r>
      <w:r>
        <w:rPr>
          <w:rFonts w:ascii="Times New Roman;Times;Serif" w:hAnsi="Times New Roman;Times;Serif"/>
          <w:b w:val="false"/>
          <w:i w:val="false"/>
          <w:caps w:val="false"/>
          <w:smallCaps w:val="false"/>
          <w:sz w:val="20"/>
        </w:rPr>
        <w:t>, PhD has been a member of our board of directors since February 13, 2025. Dr. Wang is currently the Director of Innovation PG, Office of Provost at the Singapore University of Technology and Design, championing a new Innovation pathway for getting postgraduate accreditations. He is also an adjunct Professor of Van Lang University and a Professor of Practice (Global) for Golden Gate University, giving masterclasses to students from the respective universities. From July to December 2025, Dr. Wang was the Chief Investment and Enterprise Officer of AccTrain Academy, a private educational institution providing Digital, AI and Cybersecurity upskilling courses for practitioners. From August 2023 to April 2025, Dr. Wang was the acting Director of Investments, Deputy Academic Director and adjunct Associate Professor of NUS Enterprise Academy at the National University of Singapore (NUS). He led investment strategies and oversaw postgraduate and Continuing Education and Training (CET) programmes focusing on venture creation and entrepreneurship education. From December 2019 to July 2023, Dr. Wang was the Deputy Director, Industry Liaison Office at NUS, where he spearheaded collaboration initiatives between academia and industry, driving innovation through strategic partnerships with the global venture capital community. He was also appointed by the Sri Lanka government as an honorary advisor for the masterplanning project in the Northern Province in February 2023. Prior to his employment with NUS, Dr. Wang has held various management positions in different global investment firms including Temasek and Fosun International between 2006 and 2018. Dr. Wang received a Bachelor’s Degree (First Class Honors) in Computing from the National University of Singapore, an Executive MBA from the Quantic School of Business and Technology and PhD in Management with research focus on Applied Behavioral Economics from the University of Canberra in Australia.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Joshua Kewei Cui</w:t>
      </w:r>
      <w:r>
        <w:rPr>
          <w:rFonts w:ascii="Times New Roman;Times;Serif" w:hAnsi="Times New Roman;Times;Serif"/>
          <w:b w:val="false"/>
          <w:i w:val="false"/>
          <w:caps w:val="false"/>
          <w:smallCaps w:val="false"/>
          <w:sz w:val="20"/>
        </w:rPr>
        <w:t xml:space="preserve"> has been a member of our board of directors and has served as the chairman of our audit committee since February 13, 2025. Since April 2022, Mr. Cui has been the executive officer of SOCC Capital Consultancy Pte Ltd (“SOCC Capital”), a regional Singapore-based corporate and advisory firm he co-founded. SOCC Capital specializes in corporate finance and reporting compliance services. Since August 2024, Mr. Cui has served as an independent director and a member of the audit committee of BitFuFu Inc. (NASDAQ: FUFU). From June 2017 to October 2024, he was a director at JWCC Capital Consultancy Pte Ltd, a consultancy firm specialized in strategic planning, business development and internal controls. From June 2022 to September 2023, Mr. Cui was the Chief Financial Officer at Ohmyhome Ltd (NASDAQ: OMH). Mr. Cui has nearly 20 years of experience in financial management, financial planning, auditing, consulting, corporate governance, and capital markets advisory. Mr. Cui began his career as an auditor at one of the international accounting firms, and has held several key leadership roles in companies listed in Hong Kong and Singapore. He has extensive experience in financial reporting, compliance, internal controls, strategic planning, fundraising and corporate advisory.. He received a Bachelor’s Degree in Applied Accounting from Oxford Brookes University and has been a member of the Institute of Singapore Chartered Accountants since December 2010 and holds an Executive Master in Finance from INSEAD.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Catherine Choo See Ling, one of our directors, and Mr. Jacky Choo See Wee, our Group Chairman, are siblings.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cash compensation paid to our executive officers during the fiscal year ended March 31, 2026 (including individuals who are no longer with GCL Group at the time of reporting) was approximately $3.3 million. Neither the Company nor the compensation committee of the Board has engaged a compensation consultant to determine or recommend the amount or form of executive or director compensation. In addition to salaries, this amount includes (i) an aggregate of $273,435 of rent, representing 50% of the rent payments for a property in Singapore which served as Mr. Choo See Wee’s office as well as residence, (ii) an aggregate of $51,800 in lease payments for a company car for Mr. Choo See Wee, (iii) an aggregate of $10,467 in lease payments for a company car for Mr. Sebastian Toke, and (iv) a one-time special bonus payment of $920,000 to Mr. Choo See Wee.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cash compensation paid to our directors during the fiscal year ended March 31, 2026 was $480,000, consisting entirely of cash fees for the directors’ service on the Board. Neither the Company nor the compensation committee of the Board has engaged a compensation consultant to determine or recommend the amount or form of executive or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 Service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Such agreements provide for a base salary, a bonus opportunity, and other incentive compensation programs offered to executives of the Company. Subject to the terms of the employment agreements, we may terminate their employment by giving a written notice. In addition, upon termination of an executive officer’s employment without cause or resignation by the executive officer for “good reason,” as defined in their employment agreements, such executive officer will, conditioned upon his/her execution of a separation and release agreement, be eligible to receive a severance payment in the amount specified in their employment agreement. Under these agreements, the executive officers are also subject to confidentiality, non-competition, and non-solicitation provisions.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service agreements with each of our directors. Such agreements provide for an annual fee for the board members’ services, including base fees, and fees for their board committee memberships. Such agreements will be automatically terminated once the director stops serving on the board. Under these agreements, the directors are also subject to confidentiality, non-competition, and non-solicitation provisions.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full-time employees of the Company are entitled to the government mandated defined contribution plan. The Company is required to accrue and pay for these benefits based on certain percentages of the employees’ respective salaries, subject to certain ceilings, in accordance with the relevant government regulations, and make cash contributions to the government mandated defined contribution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our Board approved the GCL Global Holdings Ltd Equity Incentive Plan, which we refer to as the “Equity Incentive Plan”. The purpose of the Equity Incentive Plan is to help us attract, motivate and retain such persons with awards under the Equity Incentive Plan and thereby enhance shareholder value.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permits the awards of options, share appreciation rights, rights to dividends and dividend equivalent right, restricted shares and restricted share units and other rights or benefits. Employees, members of the Board and consultants of the Company and its affiliates are eligible to participate in the Equity Incentive Plan. An employee, a director, or consultant who has been granted an award may, if he or she is otherwise eligible, be granted additional awards. Each award under the Equity Incentive Plan is designated in an award agreement, which is a written agreement evidencing the grant of an award executed by the company and the grantee, including any amendments thereto. The Board or any entity appointed by the Board to administer the Equity Incentive Plan shall determine the provisions, terms, and conditions of each award including, but not limited to, the award vesting schedule, repurchase provisions, rights of first refusal, forfeiture provisions, and form of payment upon settlement of the award. The aggregate number of ordinary shares that is initially authorized for issuance under the Equity Incentive Plan was 18,941,458. Subject to any adjustments provided in the Equity Incentive Plan, such aggregate number of shares will automatically increase every April 1 of each year, in an amount equal to 3% of the total number of ordinary shares outstanding on March 31 of the preceding year.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an aggregate of 547,183 ordinary shares were awarded under the Equity Incentive Plan.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committee or a nominating and corporate governance committee consisting entirely of independent directors. We may elect to follow home country’s corporate governance practices as long as we remain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 For instance, we are exempt from the requirement to obtain shareholder approval for certain dilutive events, including a transaction other than a public offering involving the sale of 20% or more of the issuer’s ordinary shares outstanding prior to the transaction for less than the greater of book or market value of the shares, or the issuance of ordinary shares issuable upon conversion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rules, because Mr. Jacky Choo See Wee, our Group Chairman is able to exercise approximately 61.9% of the aggregate voting power of our total issued and outstanding shares. Under the Nasdaq rules, a “controlled company” may elect not to comply with certain corporate governance requirements. Accordingly, we have elected to avail itself of the exemptions available to it under Rule 5615(a)(7)(B) of the Nasdaq rules by foregoing (i) the requirement that we have a compensation committee that is composed entirely of independent directors with a written charter addressing the committee’s purpose and responsibilities and (ii) the requirement that we have a nominating and corporate governance committee with a written charter addressing the committee’s purpose and responsibilities. We are eligible to take advantage of additional exemptions from certain Nasdaq corporate governance requirements. As a result, our shareholders may not have the same protection afforded to shareholders of companies that are subject to these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rules of the Nasdaq stock market, as applicable to foreign private issuers and controlled companies, in determining whether a director is independent. Our board of directors has consulted, and will continue to consult, with its counsel to ensure that the board of director’s determinations are consistent with those rules and all relevant securities and other laws and regulations regarding the independence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six directors, three of whom qualify as independent within the meaning of the independent director guidelines of Nasdaq. Tse Meng Ng, Wilson W. Wang and Joshua Kewei Cui are “independent directors” as defined in the rules of Nasdaq and applicable SEC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“controlled company” under Nasdaq rules, We are not required to and does not currently have a standing nominating committee, though we intend to form a corporate governance and nominating committee as and when required to do so by law or the Nasdaq rules. We believe that our directors can satisfactorily carry out the responsibility of properly selecting or approving director nominees without the formation of a standing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separately standing audit committee and compensation committee, and adopted a charter for each of these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Tse Meng Ng, Wilson W. Wang and Joshua Kewei Cui, with Mr. Cui serving as the chair of the audit committee. Each member of the audit committee qualifies as an independent director under the Nadsaq corporate governance standards and the independence requirements of Rule 10A-3 of the Exchange Act. In addition, each proposed member of the audit committee is financially literate. Our board of directors has determined that Mr. Cui qualifies as an “audit committee financial expert”, as defined in Item 407(d)(5) of Regulation S-K, and possesses financial sophistication, as defined under the rules of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responsibilities include,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compensating, retaining, evaluating, terminating and overseeing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05"/>
        <w:gridCol w:w="200"/>
        <w:gridCol w:w="86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with our independent registered public accounting firm their independence from management;</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05"/>
        <w:gridCol w:w="200"/>
        <w:gridCol w:w="83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the scope and results of their audit;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all audit and permissible non-audit services to be performed by our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financial reporting process and discussing with management and our independent registered public accounting firm the interim and annual financial statements that we file with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monitoring our accounting principles, accounting policies, financial and accounting controls and compliance with legal and regulatory requirements;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confidential anonymous submission of concerns regarding questionable accounting, internal controls or auditing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charter for the audit committee which is available on our website at https://www.gclglobalholdings.com/.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Jacky Choo See Wee, Catherine Choo and Joshua Kewei Cui. Neither Mr. Choo nor Ms. Choo qualifies as an independent director. We rely on the “controlled company” exemption of the Nasdaq rules relating to compensation committee composition.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responsibilities include,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corporate goals and objectives relevant to the compensation of our Chief Executive Officers, evaluating the performance of our Chief Executive Officer in light of these goals and objectives and setting or making recommendations to the Board regarding the compensation of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setting or making recommendations to our board of directors regarding the compensation of our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05"/>
        <w:gridCol w:w="200"/>
        <w:gridCol w:w="78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our board of directors regarding the compensation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making recommendations to our board of directors regarding our incentive compensation and equity-based plans and arrangements; and</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05"/>
        <w:gridCol w:w="200"/>
        <w:gridCol w:w="48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charter for the compensation committee which is available on our website at https://www.gclglobalholdings.com/.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ethics that applies to all of its executive officers, directors and employees, including its principal executive officer, principal financial officer, principal accounting officer or controller or persons performing similar functions. The code of ethics is available on our website at https://www.gclglobalholdings.com/. We intend to make any legally required disclosures regarding amendments to, or waivers of, provisions of its code of ethics on our website rather than by filing a Current Report on Form 6-K.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approximately 331, 162 and 106 full-time employees as of March 31, 2026, 2025 and 2024, respectively. The steady growth of our head-count was primarily due to expansion in Operations and Sales and Marketing as we grew our business and operations as a public company and as a result of our acquisition of Ban Leong. The 331 full-time employees we had as of March 31, 2026 consisted of 300 in Asia Pacific (including 169 in Singapore, 58 in Malaysia, 51 in Thailand, 9 in Hong Kong, 5 in China, 4 in Bangladesh, 3 in Japan, and 1 in Indonesia), 19 in Europe, and 12 in other parts of the world, carrying out the following primary functions:</w:t>
      </w:r>
    </w:p>
    <w:p>
      <w:pPr>
        <w:pStyle w:val="TextBody"/>
        <w:bidi w:val="0"/>
        <w:spacing w:before="0" w:after="0"/>
        <w:ind w:left="0" w:right="0" w:firstLine="36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620"/>
        <w:gridCol w:w="90"/>
        <w:gridCol w:w="90"/>
        <w:gridCol w:w="410"/>
        <w:gridCol w:w="135"/>
      </w:tblGrid>
      <w:tr>
        <w:trPr/>
        <w:tc>
          <w:tcPr>
            <w:tcW w:w="3620" w:type="dxa"/>
            <w:tcBorders/>
            <w:shd w:fill="CCEEFF" w:val="clear"/>
            <w:vAlign w:val="center"/>
          </w:tcPr>
          <w:p>
            <w:pPr>
              <w:pStyle w:val="TableContents"/>
              <w:bidi w:val="0"/>
              <w:spacing w:before="0" w:after="283"/>
              <w:jc w:val="left"/>
              <w:rPr/>
            </w:pPr>
            <w:r>
              <w:rPr/>
              <w:t>Media Production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7</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Content Development and Publishing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4</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113</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Sales and Marketing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134</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Finance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34</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Management and Administration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13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331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Group seeks to hire and develop employees who are dedicated to our strategic mission. Over the next twelve months, we intend to continue to hire a significant number of additional personnel across a variety of functions including, but not limited to, sales and marketing, research and development, content design and creation, video production, and operations to support of our anticipated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equitable compensation programs including equity participation. We offer market-competitive salaries aimed at attracting and retaining team members capable of making exceptional contributions to our success. Our compensation decisions are guided by the external market, role criticality, and the contributions of each team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work stoppages and we consider our relationship with our employees to be good. None of our employees are either represented by a labor union or subject to a collective bargaining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Ownership of our shares by our directors and executive officers is set forth in “Item 7. </w:t>
      </w:r>
      <w:r>
        <w:rPr>
          <w:rFonts w:ascii="Times New Roman;Times;Serif" w:hAnsi="Times New Roman;Times;Serif"/>
          <w:b w:val="false"/>
          <w:i/>
          <w:caps w:val="false"/>
          <w:smallCaps w:val="false"/>
          <w:sz w:val="20"/>
        </w:rPr>
        <w:t>Major Shareholders and Related Party Transactions-A. Major Shareholders</w:t>
      </w:r>
      <w:r>
        <w:rPr>
          <w:rFonts w:ascii="Times New Roman;Times;Serif" w:hAnsi="Times New Roman;Times;Serif"/>
          <w:b w:val="false"/>
          <w:i w:val="false"/>
          <w:caps w:val="false"/>
          <w:smallCaps w:val="false"/>
          <w:sz w:val="20"/>
        </w:rPr>
        <w:t>”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as of the date of this Report by:</w:t>
      </w:r>
    </w:p>
    <w:p>
      <w:pPr>
        <w:pStyle w:val="TextBody"/>
        <w:bidi w:val="0"/>
        <w:spacing w:before="0" w:after="0"/>
        <w:ind w:left="0" w:right="0" w:firstLine="36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05"/>
        <w:gridCol w:w="200"/>
        <w:gridCol w:w="78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 the beneficial owner of more than 5% of our outstanding shares;</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00"/>
        <w:gridCol w:w="31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officers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05"/>
        <w:gridCol w:w="200"/>
        <w:gridCol w:w="32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officers and directors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130,135,432 ordinary shares issued as of the date of this Report.</w:t>
      </w:r>
    </w:p>
    <w:p>
      <w:pPr>
        <w:pStyle w:val="TextBody"/>
        <w:bidi w:val="0"/>
        <w:spacing w:before="0" w:after="0"/>
        <w:ind w:left="0" w:right="0" w:firstLine="360"/>
        <w:jc w:val="both"/>
        <w:rPr>
          <w:caps w:val="false"/>
          <w:smallCaps w:val="false"/>
        </w:rPr>
      </w:pPr>
      <w:r>
        <w:rPr>
          <w:caps w:val="false"/>
          <w:smallCaps w:val="false"/>
        </w:rPr>
        <w:t> </w:t>
      </w:r>
    </w:p>
    <w:tbl>
      <w:tblPr>
        <w:tblW w:w="9484" w:type="dxa"/>
        <w:jc w:val="left"/>
        <w:tblInd w:w="0" w:type="dxa"/>
        <w:tblLayout w:type="fixed"/>
        <w:tblCellMar>
          <w:top w:w="0" w:type="dxa"/>
          <w:left w:w="0" w:type="dxa"/>
          <w:bottom w:w="28" w:type="dxa"/>
          <w:right w:w="0" w:type="dxa"/>
        </w:tblCellMar>
      </w:tblPr>
      <w:tblGrid>
        <w:gridCol w:w="6275"/>
        <w:gridCol w:w="90"/>
        <w:gridCol w:w="90"/>
        <w:gridCol w:w="1130"/>
        <w:gridCol w:w="90"/>
        <w:gridCol w:w="90"/>
        <w:gridCol w:w="228"/>
        <w:gridCol w:w="1201"/>
        <w:gridCol w:w="290"/>
      </w:tblGrid>
      <w:tr>
        <w:trPr/>
        <w:tc>
          <w:tcPr>
            <w:tcW w:w="627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Percentage of</w:t>
              <w:br/>
              <w:t>Class</w:t>
            </w:r>
          </w:p>
        </w:tc>
        <w:tc>
          <w:tcPr>
            <w:tcW w:w="290" w:type="dxa"/>
            <w:tcBorders/>
            <w:tcMar>
              <w:bottom w:w="0" w:type="dxa"/>
            </w:tcMar>
            <w:vAlign w:val="center"/>
          </w:tcPr>
          <w:p>
            <w:pPr>
              <w:pStyle w:val="TableContents"/>
              <w:bidi w:val="0"/>
              <w:spacing w:before="0" w:after="283"/>
              <w:jc w:val="left"/>
              <w:rPr/>
            </w:pPr>
            <w:r>
              <w:rPr/>
              <w:t> </w:t>
            </w:r>
          </w:p>
        </w:tc>
      </w:tr>
      <w:tr>
        <w:trPr/>
        <w:tc>
          <w:tcPr>
            <w:tcW w:w="6275" w:type="dxa"/>
            <w:tcBorders/>
            <w:tcMar>
              <w:bottom w:w="0" w:type="dxa"/>
            </w:tcMar>
            <w:vAlign w:val="center"/>
          </w:tcPr>
          <w:p>
            <w:pPr>
              <w:pStyle w:val="TableContents"/>
              <w:bidi w:val="0"/>
              <w:spacing w:before="0" w:after="283"/>
              <w:jc w:val="left"/>
              <w:rPr>
                <w:b/>
                <w:i/>
              </w:rPr>
            </w:pPr>
            <w:r>
              <w:rPr>
                <w:b/>
                <w:i/>
              </w:rPr>
              <w:t>Five Percent or Greater Holders:</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9"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Epicsoft Ventures Ltd.</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80,581,793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61.9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pPr>
            <w:r>
              <w:rPr/>
              <w:t>Sega Corporation</w:t>
            </w:r>
            <w:r>
              <w:rPr>
                <w:position w:val="8"/>
                <w:sz w:val="19"/>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8,001,835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6.1</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pPr>
            <w:r>
              <w:rPr/>
              <w:t>RF Dynamic LLC</w:t>
            </w: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7,325,500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5.6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b/>
                <w:i/>
              </w:rPr>
            </w:pPr>
            <w:r>
              <w:rPr>
                <w:b/>
                <w:i/>
              </w:rPr>
              <w:t>Directors and Executive Officers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Jacky Choo See Wee</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80,581,793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61.9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pPr>
            <w:r>
              <w:rPr/>
              <w:t>Sebastian Toke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Keith Liu Min Tzau</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pPr>
            <w:r>
              <w:rPr/>
              <w:t>Kenny Lin Yuxin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Catherine Choo See Ling</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pPr>
            <w:r>
              <w:rPr/>
              <w:t>Tse Meng Ng</w:t>
            </w:r>
            <w:r>
              <w:rPr>
                <w:position w:val="8"/>
                <w:sz w:val="19"/>
              </w:rPr>
              <w:t>(3)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7,325,500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5.6</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pPr>
            <w:r>
              <w:rPr/>
              <w:t>Wilson W. Wang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275" w:type="dxa"/>
            <w:tcBorders/>
            <w:shd w:fill="FFFFFF" w:val="clear"/>
            <w:tcMar>
              <w:bottom w:w="0" w:type="dxa"/>
            </w:tcMar>
            <w:vAlign w:val="center"/>
          </w:tcPr>
          <w:p>
            <w:pPr>
              <w:pStyle w:val="TableContents"/>
              <w:bidi w:val="0"/>
              <w:spacing w:before="0" w:after="283"/>
              <w:jc w:val="left"/>
              <w:rPr/>
            </w:pPr>
            <w:r>
              <w:rPr/>
              <w:t>Joshua Kewei Cui</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201"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i/>
              </w:rPr>
            </w:pPr>
            <w:r>
              <w:rPr>
                <w:i/>
              </w:rPr>
              <w:t>All Directors and Executive Officers as a group (8 individuals)(1)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87,906,793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pPr>
            <w:r>
              <w:rPr/>
              <w:t>67.5</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Jacky Choo See Wee, Chairman of the Board and Ms. Catherine Choo See Ling, the Chief Operating Officer and a director of the Company, holds 98% and 1% of Epicsoft Ventures Ltd., a Cayman Islands company, respectively. Mr. Jacky Choo See Wee has the sole voting and investment power over these shares.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Sega Corporation is Sumitomo Fudosan Osaki Garden Tower, 1-1-1 Nishi-Shinagawa, Shinagawa-Ku, Tokyo 141-0033, Japan.</w:t>
            </w:r>
          </w:p>
        </w:tc>
      </w:tr>
      <w:tr>
        <w:trPr/>
        <w:tc>
          <w:tcPr>
            <w:tcW w:w="2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beneficially owned is comprised of (i) 2,875,000 Ordinary Shares issued to the Sponsor in exchange for the same number of shares of RFAC Common Stock held by the Sponsor immediately prior to the closing of business combination; and (ii) up to 4,450,500 Ordinary Shares issuable upon exercise of 4,450,500 Warrants. RF Dynamic LLC is the record holder of the securities reported herein. Tse Meng Ng is the sole member and manager of RF Dynamic LLC and has voting and investment discretion with respect to the securities held of record by the Sponsor. Tse Meng Ng disclaims any beneficial ownership of any shares held by the Sponsor except to the extent of his respective pecuniary interest therein. The business address of RF Dynamic LLC is 111 Somerset Road, #05-06, Singapore 238164.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the Company owes Mr. Jacky Choo See Wee, in an aggregate total of $823,864 which included interest free loan due on demand and director fee payable. For more information about related party transactions involving Mr. Jacky Choo See Wee, see “</w:t>
      </w:r>
      <w:r>
        <w:rPr>
          <w:rFonts w:ascii="Times New Roman;Times;Serif" w:hAnsi="Times New Roman;Times;Serif"/>
          <w:b w:val="false"/>
          <w:i/>
          <w:caps w:val="false"/>
          <w:smallCaps w:val="false"/>
          <w:sz w:val="20"/>
        </w:rPr>
        <w:t>Item 6. Directors, Senior Management and Employees - B. Compensation.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have been filed as part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Global Select Market under the trading symbol “GCL” and our Warrants are listed on Nasdaq Capital Market under the trading symbol “GCLWW.” Holders of Ordinary Shares and Warrants should obtain current market quotations for their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Global Select Market under the trading symbol “GCL” and Our Warrants are listed on Nasdaq Capital Market under the trading symbol “GCLWW”.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$50,000 divided into 500,000,000 Ordinary Shares of par value of $0.0001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of the Company were most recently amended and restated upon the closing of the Business Combination and are filed as Exhibit 1.1 to this Report. The description of the Amended and Restated Memorandum and Articles of Association of the Company is included in the Company’s Shell Company Report on Form 20-F, filed with the SEC on February 26,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September 30, 2024 to December 2024, pursuant to certain convertible note purchase agreements (as further amended on or about February 5, 2025, the “Note Purchase Agreements”), GCL Global issued to certain accredited investors (the “Transaction Investors”) an aggregate of $33,025,000 convertible notes which were exchanged for 9,540,552 shares of Merger Consideration Shares (as defined in the Merger Agreement) on February 13, 2025 upon closing of the business combination. Of the 9,540,552 shares issued at Closing, 2,201,665 shares were “Bonus Shares” (as defined in the Note Purchase Agreements) held in escrow, scheduled to be released in one-third (1/3) increments at the end of each of the first three anniversary dates of the Closing Date to either the Transaction Investors or to the Company for cancellation, based on the number of Merger Consideration Shares held by the Transaction Investors at the time. In the event that the lowest volume-weighted average closing price of the Merger Consideration Shares is less than $4.50 per share for any ten (10) consecutive trading days during the last month prior to the third anniversary day of the Conversion Date, the Transaction Investors will be entitled to receive certain Top-Up Shares (defined in the Note Purchase Agreement) and, under certain limited circumstances, a cash payment, based on the number of Merger Consideration Shares held on the third anniversary date of the Business Combination. Based on the number of ordinary shares held by the Transaction Investors at the end of the first anniversary date of the Closing date and due to the precipitous drop in trading price of our ordinary shares during the first year from the Closing Date, we released from escrow the entire 2,201,665 shares to the Transaction Investors on March 26,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Nekcom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GCL Global, Nekcom and certain significant shareholders of Nekcom entered into a Series B Preferred Stock Purchase Agreement (the “Nekcom SPA”) pursuant to which, among other things, (i) Nekcom entered into a publishing agreement with GCL Global (the “Nekcom Publishing Agreement”) appointing 4Divinity as Nekcom’s global publisher and distributor of the upcoming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excluding certain regions previously licensed to other parties; and (ii) the Company purchased 12,250,000 shares of Nekcom’s Series B Preferred Stock (“Nekcom Series B Preferred Shares”) constituting 20% of the total outstanding shares of Nekcom for an aggregate purchase price of $15,000,000 consisting of (a) $7,500,000 in cash, and (b) $7,500,000 in GCL Global ordinary shares. Pursuant to the Nekcom Publishing Agreement, the $3,000,000 secured loan extended to Nekcom in September 2024 was converted into the minimum guarantee (the “Minimum Guarantee”) advanced by 4Divinity to Nekcom, which represents a contractually specified guaranteed publishing payment that we have agreed to provide under the related publishing agreement and that is recoverable by us from our contractual share of revenues generated from the exploitation and distribution of the game. In connection with the Nekcom SPA, 262,325 ordinary shares of GCL Global (the “Nekcom Consideration Shares”) and an additional 262,325 ordinary shares of GCL Global (the “Nekcom Additional Consideration Shares”) were issued in the name of Nekcom on December 18, 2024. The Nekcom Consideration Shares and the Nekcom Additional Consideration Shares were exchanged for an aggregate of 2,126,729 ordinary shares of the Company on February 13, 2025 upon closing of the business combination, but were held in escrow until the date on which the Company has recovered, through our contractual share of publishing revenues, an amount equal to the minimum guarantee (the “Full Recoupment Date”), at which time they will be released to either Nekcom or the Company depending on the value of Nekcom Consideration Shares (the “Consideration Shares VWAP”) based on the volume weighted average price of the Consideration Shares over thirty (30) trading days immediately preceding the Full Recoupment Date. If the Consideration Shares VWAP exceeds $7,500,000, all Nekcom Consideration Shares will be released to Nekcom, and all Nekcom Additional Consideration Shares will be returned to GCL Global for cancellation. In the event that the Consideration Shares VWAP is below $7,500,000 but exceeds $1,200,000, Nekcom will receive such number of Nekcom Additional Consideration Shares from the escrow account that would make up the shortfall, with the balance returned to the Company for cancellation. If the value of the Nekcom Additional Consideration Shares so released from the escrow account is not sufficient to make up the shortfall, the Company has agreed to either pay Nekcom cash to make up the shortfall, or issue additional shares to Nekcom and use its reasonable best efforts to register such shares for resale. If the Consideration Shares VWAP is below $1,200,000, the Company has agreed to pay Nekcom the shortfall between $7,500,000 and the Consideration Shares VWAP in cash. As of the date of this Report,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has not been commercially launched and the Minimum Guarantee has not yet been recouped. If either (i) Full Recoupment is not achieved within twelve (12) months following the commercial launch of the game, or (ii) the game is not commercially launched on or before December 31, 2026, the Nekcom Consideration Shares and the Nekcom Additional Consideration Shares held in escrow may be subject to forfeiture and return, at the discretion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Share Purchase Agreement between GCL Global and an accredited investor, dated March 10, 2026, GCL Global sold 306,250 of the 12,250,000 Nekcom Series B Preferred Shares it held to the investor for $1,000,000. Buyer will have the right, but not the obligation, to sell back to GCL Global any or all of these 306,250 Nekcom Series B Preferred Shares at two times the original purchase price per share during the first six months following the official release of the game </w:t>
      </w:r>
      <w:r>
        <w:rPr>
          <w:rFonts w:ascii="Times New Roman;Times;Serif" w:hAnsi="Times New Roman;Times;Serif"/>
          <w:b w:val="false"/>
          <w:i/>
          <w:caps w:val="false"/>
          <w:smallCaps w:val="false"/>
          <w:sz w:val="20"/>
        </w:rPr>
        <w:t xml:space="preserve">Showa American Story. </w:t>
      </w:r>
      <w:r>
        <w:rPr>
          <w:rFonts w:ascii="Times New Roman;Times;Serif" w:hAnsi="Times New Roman;Times;Serif"/>
          <w:b w:val="false"/>
          <w:i w:val="false"/>
          <w:caps w:val="false"/>
          <w:smallCaps w:val="false"/>
          <w:sz w:val="20"/>
        </w:rPr>
        <w:t xml:space="preserve">In the event that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is not officially launched on or before June 30, 2028, buyer will have the right to demand GCL Global to buy back these 306,250 Nekcom Series B Preferred Shares at a price equal to the original purchase price plus 10%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2Game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Sale and Purchase Agreement dated March 19, 2025 (the “2Game SPA”) by and among GCL Global SG and the 2Game Sellers, GCL Global SG purchased from the 2Game Sellers 1,000 shares of 2Game (the “Sale Shares”) for $1,200,000, resulting in GCL Global SG currently holding 61% equity interests of 2Game. The 2Game SPA contains certain financial performance targets for 2Game over the next three years starting and including fiscal year 2026. Pursuant to the terms of the 2Game SPA, the 2Game Sellers were required to buy back the Sale Shares from GCL Global SG for $1,272,000 because 2Game has failed to generate at least $70,000,000 of revenue and net profit after tax of at least $2,500,000 during fiscal year 2026. As of the date of this Report, 2Game Sellers have not bought back the Sale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Nekcom Series B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Share Purchase Agreement between GCL Global and an accredited investor, dated March 10, 2026, GCL Global sold 306,250 of the 12,250,000 shares of Nekcom Series B Preferred Stock (“Nekcom Series B Shares”) it held to investor for $1,000,000. Buyer will have the right, but not the obligation, to sell back to GCL Global any or all of these 306,250 Nekcom Series B Preferred Shares at two times the original purchase price per share during the first six months following the official release of the game </w:t>
      </w:r>
      <w:r>
        <w:rPr>
          <w:rFonts w:ascii="Times New Roman;Times;Serif" w:hAnsi="Times New Roman;Times;Serif"/>
          <w:b w:val="false"/>
          <w:i/>
          <w:caps w:val="false"/>
          <w:smallCaps w:val="false"/>
          <w:sz w:val="20"/>
        </w:rPr>
        <w:t xml:space="preserve">Showa American Story. </w:t>
      </w:r>
      <w:r>
        <w:rPr>
          <w:rFonts w:ascii="Times New Roman;Times;Serif" w:hAnsi="Times New Roman;Times;Serif"/>
          <w:b w:val="false"/>
          <w:i w:val="false"/>
          <w:caps w:val="false"/>
          <w:smallCaps w:val="false"/>
          <w:sz w:val="20"/>
        </w:rPr>
        <w:t xml:space="preserve">In the event that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is not officially launched on or before June 30, 2028, buyer will have the right to demand GCL Global to buy back these 306,250 Nekcom Series B Preferred Shares at a price equal to the original purchase price plus 10%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4Divinity SG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4Divinity SG entered into share subscription agreements with ADATA Technology Co., Ltd., a Taiwanese company that is also a leader in memory and storage solutions, between October 2025 and July 2026, pursuant to which ADATA has purchased newly issued ordinary shares of 4Divinity SG, representing an aggregate of approximately 10.2% of outstanding equity interests of 4Divinity SG, for $32,000,000.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ATW SPA, Registration Rights Agreement, Exchange Agreement, and April 2026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2025, the Company entered into a securities purchase agreement (the “ATW SPA”) with ATW Partners (the “Investor”) for the issuance of senior unsecured convertible notes (the “Notes”), through a facility of up to $45.5 million. Pursuant to the ATW SPA, the Company has issued and sold to the Investor an initial note in the aggregate original principal amount of $2,900,000, at a purchase price of $2,610,000 on May 22, 2025. Pursuant to the ATW SPA, as amended on August 26, 2025, the Company has issued and sold to the Investor additional Notes in the aggregate original principal amount of $2,530,000, at a purchase price of $2,277,000. The Notes had a three-year term and bore interest at 6% per annum, payable monthly, at GCL’s option, in cash or, provided that certain conditions were met, in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ATW SPA, the Company and the Investor entered into a Registration Rights Agreement pursuant to which the Company filed a resale registration statement (333-290032) for certain Conversion Shares (as defined in the Registration Rights Agreement) which was declared effective by the SEC on September 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redeemed, in part, the then-outstanding Notes for approximately $3.18 million pursuant to the terms of the Notes. The Parties also entered into that certain Amendment, Waiver and Exchange Agreement (the “Exchange Agreement”), pursuant to which, the remaining balance of the Notes was exchanged for a warrant to purchase 1,125,000 ordinary shares at an initial exercise price of $8.00 per share, subject to full-ratchet anti-dilution adjustments and other price protections in the event of, among other things, a reverse stock split or share combination (the “April 2026 Warrant”) in reliance on the exemption from registration provided by Section 3(a)(9) of the Securities Act. The Parties have also agreed to, among other things, waive any right to consummate any additional closing or cause the Company to issue additional notes, pursuant to the terms of the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OCBC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certain Facility Letter dated as of October 1, 2024, as supplemented by the Supplemental Letter dated as of March 12, 2025 and July 7, 2025 between Epicsoft Asia Pte. Ltd. (the “Borrower”), a wholly-owned subsidiary of GCL Global Holdings Ltd. (the “Company” or “GCL”), and Oversea-Chinese Banking Corporation Limited (“OCBC”) for a financing of up to SGD5,000,000 (the “Facility Agreement”), the Company issued to OCBC a warrant (the “OCBC Warrant”) to purchase up to 899,281 ordinary shares of the Company (the “Warrant Shares”) at an exercise price of US$4.17 per share (the “Exercise Price”) to meet one of the conditions precedent for the Borrower to draw down funds under the Facility Agreement. The aggregate Exercise Price payable for the total number of Warrant Shares purchasable under the Warrant shall be US$3,750,000, and shall first be used to repay all principal, interest and other amounts outstanding under the Facility Agreement with the remainder, if any, for the Borrower’s working capital. The Warrant was issued in reliance upon the exemption from registration provided by Section 4(a)(2) of the Securities Act of 1933, as amended (the “Securities Act”). On July 29, 2025, the Company and OCBC entered into Amendment No. 1 to the Warrant (the “Amendment”) to clarify their commercial understanding that none of the terms of the Warrant shall have any legal effect on the Borrower and/or the Company unless and until the entire SGD 5,000,000 has been disbursed to the Borrower by OCBC under the Facility Agreement; and that OCBC will have no claims for penalties, damages and legal remedies of any kind against either the Company or the Borrower for non-performance of any obligations under the Warrant. The Amendment also provides that, among other things, until the full amount of SGD5,000,000 is disbursed by OCBC to the Borrower pursuant to the Facility Agreement, (i) the Warrant shall not be capable of exercise of any kind, and shall remain un-exercisable; and (ii) OCBC will have no rights to Piggyback Registration (as defined in the Warrant). Under the Amendment, the Company will have six months from the date the full amount of SGD5,000,000 is disbursed to file a registration statement for the public resale of all of the Warrant Shares (as defined in the Warrant). On December 2, 2025, the facility is cancelled with no fund disbursed.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Ban Leong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Epicsoft Asia made a voluntary conditional cash offer (the “Offer”) of S$0.6029 per share (approximately US$0.4580 per share) to acquire all of the issued and paid-up ordinary shares in the capital of Ban Leong Technologies Limited (“Ban Leong”), a Singaporean company listed on the Singapore Exchange Securities Trading Limited (“SGX-ST”). The Offer became unconditional on May 27, 2025. Ban Leong became a wholly-owned subsidiary of Epicsoft Asia Pte. Ltd. and effective August 26, 2025, Ban Leong was officially delisted from the SGX-ST and on August 28, 2025, changed its name to Ban Leong Technologies Pte. Ltd. Cash consideration of the Offer was financed through a combination of an approximately $38.7 million secured term loan facility provided by The Hongkong and Shanghai Banking Corporation Limited, Singapore Branch (the “HSBC term loan facility”) and approximately $10.0 million cash on hand from the Company. The HSBC term loan facility is secured by all assets of GCL Global Pte Ltd, has a five-year term, bears a floating interest rate ranging between 2.5% and 7.5%, and requires quarterly repayments, with the final installment due in May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foreign exchange controls or foreign exchange regulations under the currently applicable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Cayman Islands and U.S. federal income tax considerations generally applicable to the ownership of our ordinary shares and Warrants to acquire our ordinary shares, sometimes referred to collectively in the summary as our “securities,” is based upon laws and relevant interpretations thereof in effect as of the date of this Report, all of which are subject to change. This summary does not deal with all possible tax consequences relating to an investment in our securities, such as the tax consequences under state, local and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a description of certain Cayman Islands income tax consequences of the acquisition, ownership and disposition of our securities, but it does not purport to be a comprehensive description of all the tax considerations that may be relevant to a decision to purchase our securities. The summary is based upon the tax laws of Cayman Islands and regulations thereunder as of the date hereof, which are subject to change. Prospective investors should consult their professional advisers on the possible tax consequences of buying, holding or selling any securities under the laws of their country of citizenship, residence or domicile.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Existing Cayman Islands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securities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considerations for U.S. Holders (as defined below) generally applicable to the ownership and disposition of our Ordinary Shares and Warrants (which we refer to collectively as our securities). For purposes of this discussion, a “Holder” is a beneficial owner of our Ordinary Shares or Warrants. This discussion applies only to our Ordinary Shares and Warrants, as the case may be, that are held as “capital assets” within the meaning of Section 1221 of the Code for U.S. federal income tax purposes (generally, property held for investment). This discussion is based on the provisions of the Code, U.S. Treasury regulations (“Treasury Regulations”), administrative rules, and judicial decisions, all as in effect on the date hereof, and all of which are subject to change or differing interpretations, possibly with retroactive effect. Any such change or differing interpretation could significantly alter the tax considerations described herein. The Company has not sought any rulings from the IRS with respect to the statements made and the positions or conclusions described in this summary. Such statements, positions and conclusions are not free from doubt, and there can be no assurance that your tax advisor, the IRS, or a court will agree with such statements, positions, and conclusions.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the Medicare tax on certain investment income, U.S. federal estate or gift tax laws, any U.S. state or local or non-U.S. tax laws, or any tax treaties. Furthermore, this discussion does not address all U.S. federal income tax considerations that may be relevant to particular holders in light of their personal circumstances or that may be relevant to certain categories of investors that may be subject to special rules under the U.S. federal income tax laws,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or other financial institutions;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 governmental organizations;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as defined in Section 897(l)(2) of the Code (or any entities all of the interests of which are held by a qualified foreign pension fund);</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in securities or foreign currencies;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use the mark-to-market method of accounting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controlled foreign corporations,” “passive foreign investment companies,” and corporations that accumulate earnings to avoid U.S. federal income tax;</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or arrangements treated as partnerships for U.S. federal income tax purposes or holders of interests therein;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Ordinary Shares or Warrants under the constructive sale provisions of the Code;</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Ordinary Shares or Warrants through the exercise of employee stock options or otherwise as compensation or through a tax-qualified retirement plan;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our Ordinary Shares or Warrants as part of a straddle, appreciated financial position, synthetic security, hedge, conversion transaction, or other integrated investment or risk reduction transaction;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long-term residents of the United States;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provided below, persons that actually or constructively own 5% or more (by vote or value) of any class of shares of the Company;</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private placement warrants;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or directors; and</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not U.S.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our Ordinary Shares or Warrants, the tax treatment of a partner in such partnership generally will depend upon the status of the partner, upon the activities of the partnership and upon certain determinations made at the partner level. Accordingly, partners in such partnerships holding our Ordinary Shares or Warrants are urged to consult with their own tax advisors regarding the U.S. federal income tax consequences to them relating to the matters discussed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HOLDERS SHOULD CONSULT WITH THEIR OWN TAX ADVISORS WITH RESPECT TO THE APPLICATION OF THE U.S. FEDERAL INCOME TAX LAWS (INCLUDING ANY POTENTIAL FUTURE CHANGES THERETO) TO THEIR PARTICULAR SITUATIONS, AS WELL AS ANY TAX CONSEQUENCES ARISING UNDER ANY OTHER TAX LAWS, INCLUDING U.S. FEDERAL ESTATE OR GIFT TAX LAWS OR ANY U.S. STATE OR LOCAL OR NON-U.S. TAX LAWS, OR UNDER ANY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Holder that, for U.S. federal income tax purposes,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or organized in or under the laws of the United States, any state thereof, or the District of Columbia;</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We are not currently expected to be treated as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a U.S. holder generally will be required to include in gross income any distribution paid on our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Because we may not maintain calculations of earnings and profits under U.S. federal income tax principles, it is possible that the full amount of distributions paid by us will need to be reported as dividends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in excess of such earnings and profits generally will be applied against and reduce the U.S. holder’s basis in its Ordinary Shares (but not below zero) and, to the extent in excess of such tax basis, will be treated as gain from the sale or exchange of such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the Company will be taxable to a corporate U.S. Holder at regular rates and will not be eligible for the dividends-received deduction generally allowed to domestic corporations in respect of dividends received from other domestic corporations. Dividends the Company pays to a non-corporate U.S. Holder generally will constitute “qualified dividends” that will be subject to U.S. federal income tax at the lower applicable long-term capital gains tax rate only if (i) our Ordinary Shares are readily tradable on an established securities market in the United States, and (ii) a certain holding period and other requirements are met. If such requirements are not satisfied, a non-corporate U.S. Holder may be subject to tax on the dividend at regular ordinary income tax rates instead of the preferential rate that applies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Warrants provide for an adjustment to the number of our Ordinary Shares for which Warrants may be exercised or to the exercise price of the Warrants in certain events. An adjustment which has the effect of preventing dilution generally is not taxable. U.S. Holders of Warrants would, however, be treated as receiving a constructive distribution from the Company if, for example, the adjustment increases the warrant holders’ proportionate interest in the Company’s assets or earnings and profits (e.g., through an increase in the number of our Ordinary Shares that would be obtained upon exercise or through a decrease in the exercise price of the Warrants) as a result of a distribution of cash or other property to the U.S. Holders of shares of our Ordinary Shares. Any such constructive distribution would be treated in the same manner as if U.S. Holders of Warrants received a cash distribution from the Company generally equal to the fair market value of the increased interest and would be taxed in a manner similar to distributions to U.S. Holders of our Ordinary Shares described herein. Please see the section entitled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or Other Taxable Exchange or Disposition of our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upon a sale or other taxable disposition of our Ordinary Shares or Warrants (which, in general, would include a redemption of our Ordinary Shares or Warrants that is treated as a sale of such securities), a U.S. Holder generally will recognize capital gain or loss in an amount equal to the difference between (i) the sum of the amount of cash and the fair market value of any property received in such disposition and (ii) the U.S. Holder’s adjusted tax basis in our Ordinary Shares or Warrants. Any such capital gain or loss generally will be long-term capital gain or loss if the U.S. Holder’s holding period for our Ordinary Shares or Warrants, as applicable, so disposed of exceeds one year. Long-term capital gains recognized by non-corporate U.S. Holders may be eligible to be taxed at preferential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or Lapse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a U.S. Holder generally will not recognize gain or loss on the acquisition of our Ordinary Shares upon the exercise of a Warrant for cash. The U.S. Holder’s initial tax basis in our Ordinary Shares received upon exercise of a Warrant generally will be an amount equal to the sum of the U.S. Holder’s tax basis in the Warrant and the exercise price of such Warrant. It is unclear whether a U.S. Holder’s holding period for our Ordinary Shares received upon exercise of the Warrant will commence on the date of exercise of the Warrant or the immediately following date. In either case, the holding period will not include the period during which the U.S. Holder held the Warrant. If a Warrant is allowed to expire unexercised, a U.S. Holder generally will recognize a capital loss equal to such U.S. Holder’s tax basis in the Warrant.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characterization of a cashless exercise of a Warrant is not clear under current U.S. federal tax law. A cashless exercise could potentially be characterized as any of the following for U.S. federal income tax purposes: (i) not a realization event and thus tax-deferred, (ii) a realization event that qualifies as a tax-deferred “recapitalization,” or (iii) a taxable realization event. The tax consequences of all three characterizations are generally described below. U.S. Holders should consult with their own tax advisors regarding the tax consequences of a cashless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cashless exercise were characterized as either not a realization event or as a realization event that qualifies as a recapitalization, a U.S. Holder generally would not recognize any gain or loss on the exchange of Warrants for our Ordinary Shares. A U.S. Holder’s initial basis in our Ordinary Shares received would generally equal the U.S. Holder’s aggregate basis in the exchanged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cashless exercise were not a realization event, it is unclear whether a U.S. Holder’s holding period in our Ordinary Shares would be treated as commencing on the date of exchange of the Warrants or on the immediately following date, but the holding period would not include the period during which the U.S. Holder held the Warrants. On the other hand, if the cashless exercise were characterized as a realization event that qualifies as a recapitalization, the holding period of our Ordinary Shares would include the holding period of the warrants exercised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cashless exercise were treated as a realization event that does not qualify as a recapitalization, the cashless exercise could be treated in whole or in part as a taxable exchange in which gain or loss would be recognized by the U.S. Holder. Under this characterization, a portion of the Warrants to be exercised on a cashless basis would be deemed to have been surrendered in payment of the exercise price of the remaining portion of such warrants, which would be deemed to be exercised. In such a case, a U.S. Holder would effectively be deemed to have sold a number of Warrants having an aggregate value equal to the exercise price of the remaining Warrants deemed exercised. The U.S. Holder would recognize capital gain or loss in an amount generally equal to the difference between the value of the portion of the warrants deemed sold and its adjusted tax basis in such warrants (generally in the manner described in the section entitled “Gain or Loss on Sale or Other Taxable Exchange or Disposition of our Ordinary Shares and Warrants” above), and the U.S. Holder’s tax basis in our Ordinary Shares received would generally equal the sum of the U.S. Holder’s tax basis in the remaining Warrants deemed exercised and the exercise price of such warrants. It is unclear whether a U.S. Holder’s holding period for our Ordinary Shares would commence on the date of exercise of the Warrants or on the date following the date of exercise of the Warrants, but the holding period would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characterizations and resultant tax consequences would be adopted by the IRS or upheld by a court of law. Accordingly, U.S. Holders should consult with their own tax advisors regarding the tax consequences of a cashless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or Repurchase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redeems the Warrants for cash as permitted under the terms of the warrant agreement or if the Company repurchases Warrants in an open market transaction, such redemption or repurchase generally will be treated as a taxable disposition to the U.S. Holder, taxed as described in the section entitled “Gain or Loss on Sale or Other Taxable Exchange or Disposition of our Ordinary Shares and Warrants”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or Warrants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as backup withholding may be credited against your U.S. federal income tax liability, if any,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cash dividends and has no plan to declare or pay any dividends on Ordinary Shares in the foreseeable future. The Company currently intends to retain any earnings for future operations and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certain of the informational filing requirements of the Exchange Act. Since we are a “foreign private issuer,” our officers, directors and principal shareholders are exempt from the “short-swing” profit recovery provisions contained in Section 16 of the Exchange Act, with respect to their purchase and sale of our equity securities.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will also furnish to the SEC, on Form 6-K, unaudited half-yearly financial information. Information filed with or furnished to the SEC by us will be available on our website. The SEC also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reports and other information that we file with or furnish electronically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These risks primarily include credit risk, foreign currency risk and interest rate risk. The Company’s overall risk management strategy focuses on the unpredictability of financial markets and seeks to minimize potential adverse effects on its performance through ongoing operational and finance activities. The Company monitors and manages its exposure to such risks as part of its overall risk management program with the objective of seeking to reduce the potential adverse effects of such risks on its results of operations and financial position. The board of directors reviews policies and procedures for the management of these risks. The Audit Committee provides independent oversight to the effectiveness of the risk management process. See Note 21 to our consolidated financial statements included elsewhere in this report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an evaluation was carried out under the supervision and with the participation of our management, including our Group Chief Executive Officer and our Group Chief Financial Officer, of the effectiveness of the design and operation of our disclosure controls and procedures, as such term is defined under Rule 13a-15(e) and 15d-15(e) promulgated under the Exchange Act.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Company’s consolidated financial statements for fiscal year 2026, the Company identified material weaknesses in its internal control over financial reporting, as defined in the standards established by the PCAOB. The material weakness identified related to (1) Lack of effective monitoring and evaluation of the design and operating effectiveness of internal controls over financial reporting, including those related to: (i) identification and assessment of the accounting treatment of complex transactions and the related impact including fair valuation adjustments; and (ii) formal period-end closing and financial reporting policies and procedures in accordance with U.S. GAAP and financial reporting requirements set forth by the SEC, and (2) Lack of information technology general controls in the areas of IT policies and procedures, access management, change management, oversight of outsourced IT services and maintenance of documentary evidence supporting IT processes. To remediate the material weaknesses, the Company will implement the following measures (A) design an effective control framework and strengthen the monitoring function over the financial reporting process; (B) implement a formal process to identify complex or non-routine transactions at inception and throughout their lifecycle. Accounting implications and conclusions documented in U.S. GAAP technical accounting memoranda by technical accounting specialists or valuation specialists will be subjected to management review and approval prior to recording the transaction in the financial statements; and (C) formulate and implement formal IT general controls in the areas of IT policies and procedures, access management, change management, oversight of outsourced IT services and maintenance of documentary evidence supporting IT processes. In addition, the Company cannot predict the outcome of this determination and whether the Company will need to implement additional remedial actions in order to implement effective control over financial reporting.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has concluded that, due to the outstanding material weaknesses described above, as of March 31, 2026,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Group Chief Executive Officer and Group Chief Financial Officer, as appropriate, to allow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Annual Report on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as defined in Rule 13a-15(f) under the Exchange Act. Under the supervision and with the participation of our Chief Executive Officer and Chief Financial Officer, management evaluated the effectiveness of our internal control over financial reporting as of March 31, 2026 based on the criteria set forth in Internal Control Integrated Framework (2013) issued by the Committee of Sponsoring Organizations of the Treadway Commission.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is designed to provide reasonable assurance regarding the reliability of financial reporting and the preparation of financial statements for external reporting purposes in accordance with U.S. GAAP. Because of its inherent limitations, internal control over financial reporting may not prevent or detect misstatements. In addition, any evaluation of effectiveness for future periods is subject to the risk that controls may become inadequate because of changes in conditions, or that the degree of compliance with established policies and procedures may deteriorate.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evaluation, and due to the material weaknesses described below, management concluded that the Company did not maintain effective internal control over financial reporting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identified related primarily to the following areas: (1) Lack of effective monitoring and evaluation of the design and operating effectiveness of internal controls over financial reporting, including those related to: (i) timely identification and assessment of the accounting treatment of complex transactions and the related impact including fair valuation adjustments; and (ii) formal period-end closing and financial reporting policies and procedures in accordance with U.S. GAAP and financial reporting requirements set forth by the SEC; and (2) Lack of information technology general controls in the areas of IT policies and procedures, access management, change management, oversight of outsourced IT services and maintenance of documentary evidence supporting IT processes. To remediate the material weaknesses, the Company will implement the following measures (A) design an effective control framework and strengthen the monitoring function over the financial reporting process; (B) implement a formal process to identify complex or non-routine transactions at inception and throughout their lifecycle. Accounting implications and conclusions documented in U.S. GAAP technical accounting memoranda by technical accounting specialists or valuation specialists will be subjected to management review and approval prior to recording the transaction in the financial statements; and (C) formulate and implement formal IT general controls in the areas of IT policies and procedures, access management, change management, oversight of outsourced IT services and maintenance of documentary evidence supporting IT processes. In addition, the Company cannot predict the outcome of this determination and whether the Company will need to implement additional remedial actions in order to implement effective control over financial reporting.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will not be considered remediated until the applicable controls have been designed and implemented, operated for a sufficient period of time, and management has concluded, through testing, that such controls are operating effectively. Management will continue to monitor the effectiveness of the remediation measures and may take additional actions or modify existing remediation plans as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 of the Registered Public Accounting Firm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independent registered public accounting firm on internal control over financial reporting because we qualified as a “emerging growth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other than acquisition of Ban Leong during the period covered by this Report that have materially affected, or are reasonably likely to materially affect, our internal control over financial reporting.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Joshua Kewei Cui, an independent director and member of our audit committee, qualifies as an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a code of ethics and business conduct that applies to all our directors, officers and employees, including our principal executive officer, principal financial officer, principal accounting officer or controller and any other persons who perform similar functions for us. A copy of our code of business conduct and ethics is available on our website at </w:t>
      </w:r>
      <w:r>
        <w:rPr>
          <w:rFonts w:ascii="Times New Roman;Times;Serif" w:hAnsi="Times New Roman;Times;Serif"/>
          <w:b w:val="false"/>
          <w:i/>
          <w:caps w:val="false"/>
          <w:smallCaps w:val="false"/>
          <w:sz w:val="20"/>
        </w:rPr>
        <w:t>https://gclglobalholdings.com/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in connection with certain professional services rendered by our principal accountant for the respective period.</w:t>
      </w:r>
    </w:p>
    <w:p>
      <w:pPr>
        <w:pStyle w:val="TextBody"/>
        <w:bidi w:val="0"/>
        <w:spacing w:before="0" w:after="0"/>
        <w:ind w:left="0" w:right="0" w:firstLine="360"/>
        <w:jc w:val="both"/>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700"/>
        <w:gridCol w:w="90"/>
        <w:gridCol w:w="90"/>
        <w:gridCol w:w="875"/>
        <w:gridCol w:w="90"/>
        <w:gridCol w:w="90"/>
        <w:gridCol w:w="90"/>
        <w:gridCol w:w="725"/>
        <w:gridCol w:w="135"/>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618,000</w:t>
            </w:r>
          </w:p>
        </w:tc>
        <w:tc>
          <w:tcPr>
            <w:tcW w:w="13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related fees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 Fees. Audit fees consist of fees for the audit of our annual financial statements and the reviews of our interim financial statements. Audit fees for each period also include related services that are normally provided in connection with registration statements. </w:t>
            </w:r>
          </w:p>
        </w:tc>
      </w:tr>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 concerning financial accounting and reporting standards.</w:t>
            </w:r>
          </w:p>
        </w:tc>
      </w:tr>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Tax fees consist of fees billed for professional services rendered by our independent registered public accounting firm for tax compliance, tax advice, and tax planning.</w:t>
            </w:r>
          </w:p>
        </w:tc>
      </w:tr>
      <w:tr>
        <w:trPr/>
        <w:tc>
          <w:tcPr>
            <w:tcW w:w="2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All other fees include the aggregate fees billed in each of the fiscal years for products and services provided by our independent registered public accounting firm, other than the services reported under audit fees, audit-related fees, and tax fees.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principal accountant, including audit services and audit-related services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conducted a review process to consider the selection of the Company’s independent registered public accounting firm for the audits of the Company’s consolidated financial statements as of and for the fiscal year ending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Board of the Company dismissed Marcum Asia CPAs LLP (“Marcum Asia”) and approved the appointment of Ernst &amp; Young LLP, located in Singapore (“EY SG”) as the Company’s independent registered public accounting firm for the audits of the Company’s consolidated financial statements to be filed with the SEC. The change of the Company’s independent registered public accounting firm was and made after a review process conducted by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Asia’s audit reports on the Company’s consolidated financial statements for the years ended March 31, 2025 and 2024 did not contain an adverse opinion or a disclaimer of opinion, and were not qualified or modified as to uncertainty, audit scope, or accounting principles as defined in Item 16F(a)(1)(ii)of Form 20-F. During the two most recent fiscal years and through the subsequent interim period preceding the dismissal, there were no (i) disagreements (as defined in Item 16F(a)(1)(iv) to Form 20-F and the related instructions thereto) between the Company and Marcum Asia on any matter of accounting principles or practices, financial statement disclosure or auditing scope or procedure, any of which, if not resolved to Marcum Asia’s satisfaction, would have caused Marcum Asia to make reference thereto in its audit report on the financial statements of the Company for such period, or (ii) “reportable events” as defined in Item 16F(a)(1)(v)(A)-(D) of Form 20-F, except for the material weaknesses related to the Company’s internal control over financial reporting, including (i) lack of accounting staff and resources with appropriate knowledge of GAAP and SEC reporting and compliance requirements to design and implement formal period-end financial reporting policies and procedures to address complex technical accounting issue in accordance with GAAP and the SEC requirements., and (ii) lack of information technology general controls in the areas of IT policies and procedures, user provisioning and termination, privileged access and service organization monitoring who are responsible for change management over certain core business system and accounting system. There were no disputes or disagreements between the Company and Marcum Asia during the time it was the Company’s independent registered public accounting firm through the date of dismissal.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and through the date of this report, the Company has not consulted with EY SG regarding any of the following: (1) the application of accounting principles to any specified transaction, either completed or proposed, or the type of audit opinion that might be rendered on the Company’s consolidated financial statements; (2) the type of audit opinion that might be rendered on the Company’s consolidated financial statements by EY SG, in either case where written or oral advice provided by EY SG would be an important factor considered by the Company in reaching a decision as to any accounting, auditing or financial reporting issues; or (3) any matter that was either the subject of a disagreement (as defined in Item 16F(a)(1)(iv) of the instructions to Form 20-F and the related instructions therein ) or a reportable event (as defined in Item 16F(a)(1)(v) of the instructions to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in the Cayman Islands and are listed on Nasdaq. Nasdaq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we are not required to have: (i) a majority-independent board of directors; (ii) a compensation committee consisting of independent directors; (iii) a nominating committee consisting of independent directors; (iv) regularly scheduled executive sessions with only independent directors each year; or (v) an annual shareholders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exemptions listed above. As a result, you may not be provided with the benefits of certain corporate governance requirements of Nasdaq applicable to U.S. domestic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 THAT PREVENT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Insider Trading Policy governing the purchase, sale and other disposition of its securities by directors, senior management and employees that is reasonably designed to promote compliance with applicable insider trading laws, rules and regulations and the listing standards of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critical importance of developing, implementing, and maintaining appropriate cybersecurity measures to safeguard our information systems and protect the confidentiality, integrity, and availability of our data. Accordingly, we engage in continuous and ongoing efforts to safeguard our information systems and protect the confidentiality, integrity and availability of our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Managing Material Risks and Integrating Cybersecurity Risk with Overall Risk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maintaining cybersecurity measures to protect the confidentiality, integrity, and availability of its information systems and data. Cybersecurity risks are assessed based on their potential operational, financial, legal, regulatory, and reputational impact and are integrated into the Company’s enterprise risk management processes. Our current cybersecurity risk assessments include areas such as potential threats and vulnerabilities, implementation of data encryption protocols, access controls based on internal security policies, employee training and awareness programs, and real-time monitoring and incident response capabilities. Cybersecurity risk oversight is provided by our Board of Directors. Our Board receives updates on the Company’s cybersecurity program at least annually, and more frequently as appropriate in the event of significant cybersecurity risks or incidents. These updates include the Company’s cybersecurity strategy, material cybersecurity risks, significant cybersecurity incidents, and the effectiveness of management’s cybersecurity risk management processes. Day-to-day responsibility for identifying, assessing, managing, and responding to cybersecurity risks is delegated to the Group Chief Executive Officer and Group Chief Operating Officer, who are supported by other personnel, advisors and the Company’s Legal Department. Management maintains a risk-based cybersecurity program that includes enterprise-wide risk assessments, continuous security monitoring, vulnerability management, penetration testing, incident response planning, third-party risk management, cybersecurity awareness training, and business continuity and disaster recovery planning. Management provides cybersecurity updates to the Group Chief Executive Officer at least biannually and more frequently as appropriate in the event of significant cybersecurity risks or incidents.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of Third-Parties For Cybersecurity Risk Management Support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engage cybersecurity consultants, auditors, and other third parties to assess and enhance our cybersecurity practices. These third parties conduct assessments, penetration testing, and vulnerability assessments to help us identify weaknesses and, in some cases, to recommend improvements. Additionally, we use certain third-party tools and technologies as part of our efforts to enhance cybersecurity functions including vulnerability scanning tools, key management services, data encryption and continuous monitoring, detection, and response capabilities.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Oversight of Third-Party Service Providers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importance of cybersecurity, we evaluate third-party service providers that either provide or support our information systems from a cybersecurity risk perspective. We endeavor to assess service-provider risks based upon the services each such third-party service provider may provide and the potential threat impact of each such service provider’s services. Our risk evaluations are used to inform our third-party service provider cybersecurity risk assessments and our assessments may include review of appropriate reports or certifications relating to the service provider’s security controls and practices or review of the service provider’s physical and technical security measures, practices and procedures.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from Cybersecurity Threats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identified or experienced any cybersecurity threats or incidents that have materially affected, or are reasonably likely to materially affect, our operations, strategy, financial condition, or results. In the event of a material cybersecurity incident, we will report to the Board and disclose relevant information, including the nature, scope, impact, and remediation actions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 xml:space="preserve">ITEM 17.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 xml:space="preserve">ITEM 18.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the Company are included at the end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0"/>
        <w:gridCol w:w="9540"/>
      </w:tblGrid>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color w:val="0000EE"/>
                  <w:sz w:val="20"/>
                </w:rPr>
                <w:t>Amended and Restated Memorandum and Articles of Association of GCL Global Holdings Ltd (incorporated by reference to Exhibit 1.1 of the Company’s Shell Company Report on Form 20-F, filed with the SEC on February 26, 2025).</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w:anchor="ea029761301ex2-1.htm">
              <w:r>
                <w:rPr>
                  <w:rStyle w:val="InternetLink"/>
                  <w:rFonts w:ascii="Times New Roman;Times;Serif" w:hAnsi="Times New Roman;Times;Serif"/>
                  <w:b w:val="false"/>
                  <w:i w:val="false"/>
                  <w:caps w:val="false"/>
                  <w:smallCaps w:val="false"/>
                  <w:sz w:val="20"/>
                </w:rPr>
                <w:t>Description of Securities</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color w:val="0000EE"/>
                  <w:sz w:val="20"/>
                </w:rPr>
                <w:t>Form of Senior Convertible Note issued on May 22, 2025 (incorporated by reference to Exhibit 4.1 of the Company’s Form 6-K filed with the SEC on May 22, 2025)</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color w:val="0000EE"/>
                  <w:sz w:val="20"/>
                </w:rPr>
                <w:t>Form of Warrant issued on July 7, 2025 (incorporated by reference to Exhibit 4.1 of the Company’s Form 6-K filed with the SEC on July 8,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color w:val="0000EE"/>
                  <w:sz w:val="20"/>
                </w:rPr>
                <w:t>Amendment No. 1 to Warrant dated July 29, 2025 (incorporated by reference to Exhibit 4.1 of the Company’s Form 6-K filed with the SEC on July 29, 2025)</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Warrant issued on April 28, 2026 (incorporated by reference to Exhibit 4.1 of the Company’s Form 6-K filed with the SEC on August 29, 2026)</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color w:val="0000EE"/>
                  <w:sz w:val="20"/>
                </w:rPr>
                <w:t xml:space="preserve">Assignment, Assumption and Amendment Agreement by and among RFAC, the Company and Continental Stock Transfer &amp; Trust Company dated February 13, 2025 (incorporated by reference to Exhibit 10.1 of the Company’s Shell Company Report on Form 20-F filed with the SEC on February 26, 2025). </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color w:val="0000EE"/>
                  <w:sz w:val="20"/>
                </w:rPr>
                <w:t>Registration Rights Agreement by and among the Company, GCL Global Limited and certain holders named therein, dated February 13, 2025 (incorporated by reference to Exhibit 10.2 of the Company’s Shell Company Report on Form 20-F filed with the SEC on February 26,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color w:val="0000EE"/>
                  <w:sz w:val="20"/>
                </w:rPr>
                <w:t>Bonus Shares Escrow Agreement by and between the Company and Continental Stock Transfer &amp; Trust Company dated February 13, 2025 (incorporated by reference to Exhibit 10.3 of the Company’s Shell Company Report on Form 20-F filed with the SEC on February 26, 2025)</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color w:val="0000EE"/>
                  <w:sz w:val="20"/>
                </w:rPr>
                <w:t>Share Escrow Agreement by and between the Company and Continental Stock Transfer &amp; Trust Company dated February 13, 2025 (incorporated by reference to Exhibit 10.4 of the Company’s Shell Company Report on Form 20-F filed with the SEC on February 26,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Convertible Note Purchase Agreement (incorporated by reference to Exhibit 10.1 to the Form 8-K filed by RF Acquisition Corp. on October 18, 2024)</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color w:val="0000EE"/>
                  <w:sz w:val="20"/>
                </w:rPr>
                <w:t>Form of Amendment to Convertible Note Purchase Agreement (incorporated by reference to Exhibit 10.1 to the Form 8-K filed by RF Acquisition Corp. on February 5,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color w:val="0000EE"/>
                  <w:sz w:val="20"/>
                </w:rPr>
                <w:t>Series B Preferred Stock Purchase Agreement by and between GCL Global Limited and Nekcom Inc. dated November 20, 2024 (incorporated by reference to Exhibit 10.24 of the Company’s registration statement on Form F-4 (File 333-280559) filed with the SEC on December 26, 2024)</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color w:val="0000EE"/>
                  <w:sz w:val="20"/>
                </w:rPr>
                <w:t>Addendum to Payment Rescheduling Agreement by and among GCL Global Limited, Nekcom Inc. and other parties named therein dated July 10, 2025 (incorporated by reference to Exhibit 10.6.1 of the Company’s Annual Report on Form 20-F, filed with the SEC on July 31,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First Amendment to Series B Preferred Stock Purchase Agreement between GCL Global Limited and Nekcom Inc., dated May 15, 2025 (incorporated by reference to Exhibit 99.4 of the Company’s Form 6-K, filed with the SEC on January 30, 2026)</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Securities Purchase Agreement between the Company and the investor named therein, dated May 21, 2025  (incorporated by reference to Exhibit 10.7 of the Company’s Annual Report on Form 20-F, filed with the SEC on July 31, 2025)</w:t>
              </w:r>
            </w:hyperlink>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Amendment, Waiver and Exchange Agreement dated April 29, 2026 (incorporated by reference to Exhibit 10.1 of the Company’s Form 6-K filed with the SEC on August 29, 2026)</w:t>
              </w:r>
            </w:hyperlink>
          </w:p>
        </w:tc>
      </w:tr>
      <w:tr>
        <w:trPr/>
        <w:tc>
          <w:tcPr>
            <w:tcW w:w="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0"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Registration Rights Agreement between the Company and the buyer named therein, dated May 21, 2025 (incorporated by reference to Exhibit 10.8 of the Company’s Annual Report on Form 20-F, filed with the SEC on July 31, 2025)</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
        <w:gridCol w:w="90"/>
        <w:gridCol w:w="9486"/>
      </w:tblGrid>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Sales and Purchase Agreement by and between Ludus Asia Pte. Ltd. and Vendors dated July 31, 2022 (incorporated by reference to Exhibit 10.5 of the Company’s registration statement on Form F-4 (File 333-280559) filed with the SEC on December 26, 2024)</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The First Contract Addendum for the Sales and Purchase Agreement by and between Ludus Asia Pte. Ltd. and Vendors dated July 31, 2022 (incorporated by reference to Exhibit 10.6 of the Company’s registration statement on Form F-4 (File 333-280559) filed with the SEC on December 26, 2024)</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The Second Contract Addendum for the Sales and Purchase Agreement by and between Ludus Asia Pte. Ltd. and Vendors dated October 17, 2023 (incorporated by reference to Exhibit 10.7 of the Company’s registration statement on Form F-4 (File 333-280559) filed with the SEC on December 26, 2024)</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color w:val="0000EE"/>
                  <w:sz w:val="20"/>
                </w:rPr>
                <w:t>The Third Contract Addendum for the Sales and Purchase Agreement by and between GCL Global Pte. Ltd. (formerly known as Ludus Asia Pte. Ltd.) and Vendors dated December 29, 2024 (incorporated by reference to Exhibit 10.12 of The Company’s Form 20-F filed with the SEC on July 31, 2025)</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color w:val="0000EE"/>
                  <w:sz w:val="20"/>
                </w:rPr>
                <w:t>Share Sale and Purchase Agreement dated March 19, 2025 by and between GCL Global Pte. Ltd. and parties named therein (incorporated by reference to Exhibit 10.13 of The Company’s Form 20-F filed with the SEC on July 31, 2025)</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color w:val="0000EE"/>
                  <w:sz w:val="20"/>
                </w:rPr>
                <w:t>Form of Director Indemnification Agreement (incorporated by reference to Exhibit 10.6 of the Company’s Shell Company Report on Form 20-F filed with the SEC on February 26, 2025)</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color w:val="0000EE"/>
                  <w:sz w:val="20"/>
                </w:rPr>
                <w:t>Equity Incentive Plan, effective February 13, 2025 (incorporated by reference to Exhibit 4.2 of the Company’s Form S-8 filed with the SEC on May 1, 2025)</w:t>
              </w:r>
            </w:hyperlink>
          </w:p>
        </w:tc>
      </w:tr>
      <w:tr>
        <w:trPr/>
        <w:tc>
          <w:tcPr>
            <w:tcW w:w="6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First Amendment to Series B Preferred Stock Purchase Agreement between GCL Global Limited and Nekcom Inc., dated May 15, 2025 (incorporated by reference to Exhibit 99.4 of the Company’s Form 6-K filed with the SEC on January 30, 2026)</w:t>
              </w:r>
            </w:hyperlink>
          </w:p>
        </w:tc>
      </w:tr>
      <w:tr>
        <w:trPr/>
        <w:tc>
          <w:tcPr>
            <w:tcW w:w="6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a029761301ex11-1.htm">
              <w:r>
                <w:rPr>
                  <w:rStyle w:val="InternetLink"/>
                  <w:rFonts w:ascii="Times New Roman;Times;Serif" w:hAnsi="Times New Roman;Times;Serif"/>
                  <w:b w:val="false"/>
                  <w:i w:val="false"/>
                  <w:caps w:val="false"/>
                  <w:smallCaps w:val="false"/>
                  <w:sz w:val="20"/>
                </w:rPr>
                <w:t>Insider Trading Policy</w:t>
              </w:r>
            </w:hyperlink>
          </w:p>
        </w:tc>
      </w:tr>
      <w:tr>
        <w:trPr/>
        <w:tc>
          <w:tcPr>
            <w:tcW w:w="6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w:anchor="ea029761301ex12-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6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a029761301ex12-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6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w:anchor="ea029761301ex13-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a029761301ex13-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color w:val="0000EE"/>
                  <w:sz w:val="20"/>
                </w:rPr>
                <w:t>Code of Ethics and Business Conduct (incorporated by reference to Exhibit 14.1 of the Company’s Shell Company Report on Form 20-F filed with the SEC on February 26, 2025)</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a029761301ex15-1.htm">
              <w:r>
                <w:rPr>
                  <w:rStyle w:val="InternetLink"/>
                  <w:rFonts w:ascii="Times New Roman;Times;Serif" w:hAnsi="Times New Roman;Times;Serif"/>
                  <w:b w:val="false"/>
                  <w:i w:val="false"/>
                  <w:caps w:val="false"/>
                  <w:smallCaps w:val="false"/>
                  <w:sz w:val="20"/>
                </w:rPr>
                <w:t>Consent from Marcum Asia LLP</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w:anchor="ea029761301ex15-2.htm">
              <w:r>
                <w:rPr>
                  <w:rStyle w:val="InternetLink"/>
                  <w:rFonts w:ascii="Times New Roman;Times;Serif" w:hAnsi="Times New Roman;Times;Serif"/>
                  <w:b w:val="false"/>
                  <w:i w:val="false"/>
                  <w:caps w:val="false"/>
                  <w:smallCaps w:val="false"/>
                  <w:sz w:val="20"/>
                </w:rPr>
                <w:t>Consent from Ernst &amp; Young LLP</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a029761301ex21.htm">
              <w:r>
                <w:rPr>
                  <w:rStyle w:val="InternetLink"/>
                  <w:rFonts w:ascii="Times New Roman;Times;Serif" w:hAnsi="Times New Roman;Times;Serif"/>
                  <w:b w:val="false"/>
                  <w:i w:val="false"/>
                  <w:caps w:val="false"/>
                  <w:smallCaps w:val="false"/>
                  <w:sz w:val="20"/>
                </w:rPr>
                <w:t>List of Subsidiaries</w:t>
              </w:r>
            </w:hyperlink>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color w:val="0000EE"/>
                  <w:sz w:val="20"/>
                </w:rPr>
                <w:t>Clawback Policy (incorporated by reference to Exhibit 99.5 of The Company’s Form 20-F filed with the SEC on February 26, 2025)</w:t>
              </w:r>
            </w:hyperlink>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exhibits and schedules to this Exhibit have been omitted in accordance with Regulation S-K Item 601(a)(5). The Company agrees to furnish supplementally a copy of any omitted exhibit or schedule to the SEC upon its request; however, the Company may request confidential treatment of omitted items.</w:t>
            </w:r>
          </w:p>
        </w:tc>
      </w:tr>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p>
        </w:tc>
      </w:tr>
      <w:tr>
        <w:trPr/>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Report on its behalf.</w:t>
      </w:r>
    </w:p>
    <w:p>
      <w:pPr>
        <w:pStyle w:val="TextBody"/>
        <w:bidi w:val="0"/>
        <w:spacing w:before="0" w:after="0"/>
        <w:ind w:left="0" w:right="0" w:hanging="0"/>
        <w:jc w:val="both"/>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175"/>
        <w:gridCol w:w="620"/>
        <w:gridCol w:w="3620"/>
      </w:tblGrid>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42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c>
          <w:tcPr>
            <w:tcW w:w="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2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Sebastian Toke</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Sebastian Toke</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6"/>
        <w:gridCol w:w="90"/>
        <w:gridCol w:w="349"/>
      </w:tblGrid>
      <w:tr>
        <w:trPr/>
        <w:tc>
          <w:tcPr>
            <w:tcW w:w="976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Financial Statements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66" w:type="dxa"/>
            <w:tcBorders/>
            <w:shd w:fill="FFFFFF" w:val="clear"/>
            <w:vAlign w:val="center"/>
          </w:tcPr>
          <w:p>
            <w:pPr>
              <w:pStyle w:val="TableContents"/>
              <w:bidi w:val="0"/>
              <w:spacing w:before="0" w:after="283"/>
              <w:jc w:val="left"/>
              <w:rPr/>
            </w:pPr>
            <w:hyperlink w:anchor="fin_002a">
              <w:r>
                <w:rPr>
                  <w:rStyle w:val="InternetLink"/>
                  <w:rFonts w:ascii="Times New Roman;Times;Serif" w:hAnsi="Times New Roman;Times;Serif"/>
                  <w:b w:val="false"/>
                  <w:i w:val="false"/>
                  <w:caps w:val="false"/>
                  <w:smallCaps w:val="false"/>
                  <w:sz w:val="20"/>
                </w:rPr>
                <w:t>Report of Independent Registered Public Accounting Firm (Ernst &amp; Young LLP, PCAOB ID 1247)</w:t>
              </w:r>
            </w:hyperlink>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66" w:type="dxa"/>
            <w:tcBorders/>
            <w:shd w:fill="CCEEFF" w:val="clear"/>
            <w:vAlign w:val="center"/>
          </w:tcPr>
          <w:p>
            <w:pPr>
              <w:pStyle w:val="TableContents"/>
              <w:bidi w:val="0"/>
              <w:spacing w:before="0" w:after="283"/>
              <w:jc w:val="left"/>
              <w:rPr/>
            </w:pPr>
            <w:hyperlink w:anchor="fin_002b">
              <w:r>
                <w:rPr>
                  <w:rStyle w:val="InternetLink"/>
                  <w:rFonts w:ascii="Times New Roman;Times;Serif" w:hAnsi="Times New Roman;Times;Serif"/>
                  <w:b w:val="false"/>
                  <w:i w:val="false"/>
                  <w:caps w:val="false"/>
                  <w:smallCaps w:val="false"/>
                  <w:sz w:val="20"/>
                </w:rPr>
                <w:t>Report of Independent Registered Public Accounting Firm (Marcum Asia CPAs LLP, PCAOB ID 5395)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66" w:type="dxa"/>
            <w:tcBorders/>
            <w:shd w:fill="FFFF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Consolidated Balance Sheets as of March 31, 2026 and 2025</w:t>
              </w:r>
            </w:hyperlink>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66"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Consolidated Statements of Operations and Comprehensive Income (Loss) for the years ended March 31, 2026,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66" w:type="dxa"/>
            <w:tcBorders/>
            <w:shd w:fill="FFFF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Consolidated Statements of Change in Shareholders’ Equity for the years ended March 31, 2026, 2025 and 2024</w:t>
              </w:r>
            </w:hyperlink>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66" w:type="dxa"/>
            <w:tcBorders/>
            <w:shd w:fill="CCEEFF" w:val="cle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Pr>
          <w:p>
            <w:pPr>
              <w:pStyle w:val="TableContents"/>
              <w:bidi w:val="0"/>
              <w:spacing w:before="0" w:after="283"/>
              <w:jc w:val="left"/>
              <w:rPr>
                <w:sz w:val="4"/>
                <w:szCs w:val="4"/>
              </w:rPr>
            </w:pPr>
            <w:r>
              <w:rPr>
                <w:sz w:val="4"/>
                <w:szCs w:val="4"/>
              </w:rPr>
            </w:r>
          </w:p>
        </w:tc>
      </w:tr>
    </w:tbl>
    <w:tbl>
      <w:tblPr>
        <w:tblW w:w="7960" w:type="dxa"/>
        <w:jc w:val="left"/>
        <w:tblInd w:w="0" w:type="dxa"/>
        <w:tblLayout w:type="fixed"/>
        <w:tblCellMar>
          <w:top w:w="0" w:type="dxa"/>
          <w:left w:w="0" w:type="dxa"/>
          <w:bottom w:w="0" w:type="dxa"/>
          <w:right w:w="0" w:type="dxa"/>
        </w:tblCellMar>
      </w:tblPr>
      <w:tblGrid>
        <w:gridCol w:w="7505"/>
        <w:gridCol w:w="90"/>
        <w:gridCol w:w="365"/>
      </w:tblGrid>
      <w:tr>
        <w:trPr/>
        <w:tc>
          <w:tcPr>
            <w:tcW w:w="7505" w:type="dxa"/>
            <w:tcBorders/>
            <w:shd w:fill="CCEEFF" w:val="clear"/>
            <w:vAlign w:val="center"/>
          </w:tcPr>
          <w:p>
            <w:pPr>
              <w:pStyle w:val="TableContents"/>
              <w:bidi w:val="0"/>
              <w:spacing w:before="0" w:after="283"/>
              <w:ind w:left="0" w:right="0" w:hanging="180"/>
              <w:jc w:val="left"/>
              <w:rPr/>
            </w:pPr>
            <w:hyperlink w:anchor="fin_005">
              <w:r>
                <w:rPr>
                  <w:rStyle w:val="InternetLink"/>
                  <w:rFonts w:ascii="Times New Roman;Times;Serif" w:hAnsi="Times New Roman;Times;Serif"/>
                  <w:b w:val="false"/>
                  <w:i w:val="false"/>
                  <w:caps w:val="false"/>
                  <w:smallCaps w:val="false"/>
                  <w:sz w:val="20"/>
                </w:rPr>
                <w:t>Consolidated Statements of Cash Flows for the years ended March 31, 2026,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505" w:type="dxa"/>
            <w:tcBorders/>
            <w:shd w:fill="FFFFFF" w:val="clear"/>
            <w:vAlign w:val="center"/>
          </w:tcPr>
          <w:p>
            <w:pPr>
              <w:pStyle w:val="TableContents"/>
              <w:bidi w:val="0"/>
              <w:spacing w:before="0" w:after="283"/>
              <w:jc w:val="left"/>
              <w:rPr/>
            </w:pPr>
            <w:hyperlink w:anchor="fin_006">
              <w:r>
                <w:rPr>
                  <w:rStyle w:val="InternetLink"/>
                  <w:rFonts w:ascii="Times New Roman;Times;Serif" w:hAnsi="Times New Roman;Times;Serif"/>
                  <w:b w:val="false"/>
                  <w:i w:val="false"/>
                  <w:caps w:val="false"/>
                  <w:smallCaps w:val="false"/>
                  <w:sz w:val="20"/>
                </w:rPr>
                <w:t>Notes to Consolidated Financial Statements</w:t>
              </w:r>
            </w:hyperlink>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in_002a"/>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Shareholders and the Board of Directors of GCL Global Holdings Ltd.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GCL Global Holdings Ltd. and its subsidiaries (the Company) as of March 31, 2026, the related consolidated statements of operations and comprehensive income (loss), changes in shareholders’ equity and cash flows for the year then ended, and the related notes (collectively referred to as the “consolidated financial statements”). In our opinion, the consolidated financial statements present fairly, in all material respects, the financial position of the Company at March 31, 2026, and the results of its operations and its cash flows for the year then ended,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00275" cy="342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0"/>
                    <a:stretch>
                      <a:fillRect/>
                    </a:stretch>
                  </pic:blipFill>
                  <pic:spPr bwMode="auto">
                    <a:xfrm>
                      <a:off x="0" y="0"/>
                      <a:ext cx="2200275" cy="3429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in_002b"/>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GCL Global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GCL Global Holdings Ltd. (the “Company”) as of March 31, 2025, the related consolidated statements of operations and comprehensive income (loss)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changes in shareholders’ equity and cash flows for each of the two years in the period ended March 31, 2025, and the related notes (collectively referred to as the “financial statements”). In our opinion, the financial statements present fairly, in all material respects, the financial position of the Company as of March 31, 2025, and the results of its operations and its cash flows for each of two years in the period ended March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Asia CPAs </w:t>
      </w:r>
      <w:r>
        <w:rPr>
          <w:rFonts w:ascii="Times New Roman;Times;Serif" w:hAnsi="Times New Roman;Times;Serif"/>
          <w:b w:val="false"/>
          <w:i w:val="false"/>
          <w:smallCaps/>
          <w:sz w:val="20"/>
        </w:rPr>
        <w:t>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Asia CPAs </w:t>
      </w:r>
      <w:r>
        <w:rPr>
          <w:rFonts w:ascii="Times New Roman;Times;Serif" w:hAnsi="Times New Roman;Times;Serif"/>
          <w:b w:val="false"/>
          <w:i w:val="false"/>
          <w:smallCaps/>
          <w:sz w:val="20"/>
        </w:rPr>
        <w:t>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served as the Company’s auditor from 2023 to 2026.</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OFFICE • 7 Penn Plaza • Suite 830 • New York, New York • 10001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646.442.4845 • Fax 646.349.5200 • www.marcumasia.com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in_002"/>
      <w:bookmarkEnd w:id="41"/>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5"/>
        <w:gridCol w:w="90"/>
        <w:gridCol w:w="170"/>
        <w:gridCol w:w="1250"/>
        <w:gridCol w:w="125"/>
        <w:gridCol w:w="90"/>
        <w:gridCol w:w="170"/>
        <w:gridCol w:w="1250"/>
        <w:gridCol w:w="135"/>
      </w:tblGrid>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b/>
              </w:rPr>
            </w:pPr>
            <w:r>
              <w:rPr>
                <w:b/>
              </w:rPr>
              <w:t>ASSETS</w:t>
            </w:r>
          </w:p>
        </w:tc>
      </w:tr>
      <w:tr>
        <w:trPr/>
        <w:tc>
          <w:tcPr>
            <w:tcW w:w="692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36,577,264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18,247,380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Restricted 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2,741,404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3,131,335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36,654,784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25,761,683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Amount due from related parties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164,292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392,334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Inventories,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32,416,453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5,936,223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Other receivable and other current assets,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2,654,096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1,733,022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Prepayments,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13,868,916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6,239,861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Loan to third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678,204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382,024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Derivative asset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326,766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269,119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Total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126,082,179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62,092,981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1,624,600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380,315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Definite-lived intangible assets,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6,146,890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2,207,852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Indefinite-lived 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10,051,143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14,324,323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Goodwill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12,351,587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2,990,394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Long-term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16,841,899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15,435,274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Prepayments, a related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3,000,000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Operating leases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3,416,686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442,376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Finance leases right-of-use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668,822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363,008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Deferred tax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997,954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351,060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Total 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57,099,581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39,494,602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b/>
              </w:rPr>
            </w:pPr>
            <w:r>
              <w:rPr>
                <w:b/>
              </w:rPr>
              <w:t>TOTAL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183,181,760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101,587,583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center"/>
              <w:rPr>
                <w:b/>
              </w:rPr>
            </w:pPr>
            <w:r>
              <w:rPr>
                <w:b/>
              </w:rPr>
              <w:t>LIABILITIES, AND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Bank loans,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21,715,464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10,500,085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Convertible notes, net of unamortized discounts of $20,979 and $0 as of March 31, 2026 and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1,207,022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32,825,509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28,389,357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Accounts payable, a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4,293,316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4,567,337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8,179,636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505,323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Other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9,972,124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4,702,791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Operating lease liabilities,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1,663,734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376,751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Contingent consideration for acquisition,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1,121,006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Finance leases liabilities,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112,687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84,528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Amount due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1,042,949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683,338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Derivative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495,000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Tax payables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1,624,995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1,417,173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Total 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83,132,436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52,347,689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NON-CURRENT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1,790,741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110,368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Finance leases liabilities, non-current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294,648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164,606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Bank loans,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32,265,166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1,421,139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Deferred investment consideration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7,500,000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7,500,000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Derivative liabilities,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16,206,000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3,086,519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Deferred tax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1,097,163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59,153,718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12,282,632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142,286,154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64,630,321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COMMITMENTS AND CONTINGENCIES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Ordinary share, par value $0.0001; 500,000,000 shares authorized,130,135,432 and 126,276,372 shares issued as of March 31, 2026 and 2025, respectively, and 128,008,703 and 121,947,978 outstanding as of March 31, 2026 and 2025, respectively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12,803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12,196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44,213,702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18,149,582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(Accumulated deficit) retained earnings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(7,481,845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17,513,985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52,676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178,312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b/>
              </w:rPr>
            </w:pPr>
            <w:r>
              <w:rPr>
                <w:b/>
              </w:rPr>
              <w:t>TOTAL GCL Global Holdings Ltd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36,797,336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35,854,075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pPr>
            <w:r>
              <w:rPr/>
              <w:t>Non-controlling interests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4,098,270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1,103,187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b/>
              </w:rPr>
            </w:pPr>
            <w:r>
              <w:rPr>
                <w:b/>
              </w:rPr>
              <w:t>TOTAL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40,895,606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36,957,262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shd w:fill="FFFFFF" w:val="clear"/>
            <w:vAlign w:val="center"/>
          </w:tcPr>
          <w:p>
            <w:pPr>
              <w:pStyle w:val="TableContents"/>
              <w:bidi w:val="0"/>
              <w:spacing w:before="0" w:after="283"/>
              <w:jc w:val="left"/>
              <w:rPr>
                <w:b/>
              </w:rPr>
            </w:pPr>
            <w:r>
              <w:rPr>
                <w:b/>
              </w:rPr>
              <w:t>TOTAL LIABILITIES, AND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183,181,760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101,587,583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in_003"/>
      <w:bookmarkEnd w:id="42"/>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3"/>
        <w:gridCol w:w="90"/>
        <w:gridCol w:w="170"/>
        <w:gridCol w:w="1325"/>
        <w:gridCol w:w="125"/>
        <w:gridCol w:w="90"/>
        <w:gridCol w:w="170"/>
        <w:gridCol w:w="1339"/>
        <w:gridCol w:w="125"/>
        <w:gridCol w:w="90"/>
        <w:gridCol w:w="170"/>
        <w:gridCol w:w="1289"/>
        <w:gridCol w:w="149"/>
      </w:tblGrid>
      <w:tr>
        <w:trPr/>
        <w:tc>
          <w:tcPr>
            <w:tcW w:w="50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49" w:type="dxa"/>
            <w:tcBorders/>
            <w:vAlign w:val="center"/>
          </w:tcPr>
          <w:p>
            <w:pPr>
              <w:pStyle w:val="TableContents"/>
              <w:bidi w:val="0"/>
              <w:spacing w:before="0" w:after="283"/>
              <w:jc w:val="left"/>
              <w:rPr/>
            </w:pPr>
            <w:r>
              <w:rPr/>
              <w:t> </w:t>
            </w:r>
          </w:p>
        </w:tc>
      </w:tr>
      <w:tr>
        <w:trPr/>
        <w:tc>
          <w:tcPr>
            <w:tcW w:w="50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r>
      <w:tr>
        <w:trPr/>
        <w:tc>
          <w:tcPr>
            <w:tcW w:w="50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r>
      <w:tr>
        <w:trPr/>
        <w:tc>
          <w:tcPr>
            <w:tcW w:w="5073" w:type="dxa"/>
            <w:tcBorders/>
            <w:vAlign w:val="center"/>
          </w:tcPr>
          <w:p>
            <w:pPr>
              <w:pStyle w:val="TableContents"/>
              <w:bidi w:val="0"/>
              <w:spacing w:before="0" w:after="283"/>
              <w:jc w:val="left"/>
              <w:rPr>
                <w:b/>
              </w:rPr>
            </w:pPr>
            <w:r>
              <w:rPr>
                <w:b/>
              </w:rPr>
              <w:t>REVENUES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238,805,340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140,563,181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97,492,224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Revenues, a related party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118,749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1,509,405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42,477</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238,924,089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142,072,586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97,534,701</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COST OF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(202,693,150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(104,995,460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(65,970,028</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Cost of revenues,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(11,502,810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(15,833,765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(18,246,215</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b/>
              </w:rPr>
            </w:pPr>
            <w:r>
              <w:rPr>
                <w:b/>
              </w:rPr>
              <w:t>TOTAL 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(214,195,960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(120,829,225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(84,216,243</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GROSS PROFIT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24,728,129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21,243,361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13,318,458</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Selling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(4,848,605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(2,568,702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(2,602,892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General and administrative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(33,151,801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(15,438,447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(13,109,638</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(38,000,406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(18,007,149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(15,712,530</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(LOSS) 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(13,272,277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3,236,212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(2,394,072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Other income,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2,151,369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867,823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1,266,239</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(3,039,054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(2,255,934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(507,803</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73,352</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(545,428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(272,029</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Change in fair value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5,254,103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Change in fair value of investment in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(1,188,928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Change in fair value of derivative asset and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(10,687,930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(378,683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TOTAL OTHER (EXPENSE) INCOME, NET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(12,691,191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2,941,881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486,407</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(LOSS) INCOME BEFORE INCOME TAXES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(25,963,468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6,178,093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(1,907,665</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INCOME TAXES EXPENSE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(239,753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(1,128,672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(53,291</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NET (LOSS)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(26,203,221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5,049,421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(1,960,956</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Less: net loss attributable to non-controlling interests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(1,207,391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(538,204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FFFFFF" w:val="clear"/>
            <w:tcMar>
              <w:bottom w:w="28" w:type="dxa"/>
            </w:tcMar>
            <w:vAlign w:val="center"/>
          </w:tcPr>
          <w:p>
            <w:pPr>
              <w:pStyle w:val="TableContents"/>
              <w:bidi w:val="0"/>
              <w:spacing w:before="0" w:after="283"/>
              <w:jc w:val="right"/>
              <w:rPr/>
            </w:pPr>
            <w:r>
              <w:rPr/>
              <w:t>(587,452</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NET (LOSS) INCOME ATTRIBUTABLE TO GCL GLOBAL HOLDINGS LTD’S SHAREHOLDERS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(24,995,830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5,587,625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shd w:fill="FFFFFF" w:val="clear"/>
            <w:tcMar>
              <w:bottom w:w="28" w:type="dxa"/>
            </w:tcMar>
            <w:vAlign w:val="center"/>
          </w:tcPr>
          <w:p>
            <w:pPr>
              <w:pStyle w:val="TableContents"/>
              <w:bidi w:val="0"/>
              <w:spacing w:before="0" w:after="283"/>
              <w:jc w:val="right"/>
              <w:rPr/>
            </w:pPr>
            <w:r>
              <w:rPr/>
              <w:t>(1,373,504</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NET (LOSS)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(26,203,221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5,049,421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(1,960,956</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07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b/>
              </w:rPr>
            </w:pPr>
            <w:r>
              <w:rPr>
                <w:b/>
              </w:rPr>
              <w:t>OTHER COMPREHENSIVE (LOSS)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(175,314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312,217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(87,881</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COMPREHENSIVE (LOSS)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(26,378,535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5,361,638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(2,048,837</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Less: total comprehensive loss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(1,257,069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(522,820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(583,642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pPr>
            <w:r>
              <w:rPr/>
              <w:t>Total comprehensive (loss) income attributable to GCL Global Holdings Ltd’s shareholders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(25,121,466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pPr>
            <w:r>
              <w:rPr/>
              <w:t>5,884,458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(1,465,195</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(LOSS) EARNING PER SHARE - BASIC AND DILUTED, ORDINARY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(0.20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07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073" w:type="dxa"/>
            <w:tcBorders/>
            <w:shd w:fill="CCEEFF" w:val="clear"/>
            <w:vAlign w:val="center"/>
          </w:tcPr>
          <w:p>
            <w:pPr>
              <w:pStyle w:val="TableContents"/>
              <w:bidi w:val="0"/>
              <w:spacing w:before="0" w:after="283"/>
              <w:jc w:val="left"/>
              <w:rPr>
                <w:b/>
              </w:rPr>
            </w:pPr>
            <w:r>
              <w:rPr>
                <w:b/>
              </w:rPr>
              <w:t>WEIGHTED AVERAGE NUMBER OF ORDINARY SHARES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073" w:type="dxa"/>
            <w:tcBorders/>
            <w:shd w:fill="FFFFFF" w:val="clear"/>
            <w:vAlign w:val="center"/>
          </w:tcPr>
          <w:p>
            <w:pPr>
              <w:pStyle w:val="TableContents"/>
              <w:bidi w:val="0"/>
              <w:spacing w:before="0" w:after="283"/>
              <w:jc w:val="left"/>
              <w:rPr/>
            </w:pPr>
            <w:r>
              <w:rPr/>
              <w:t>Basic and diluted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123,232,562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107,184,280*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9" w:type="dxa"/>
            <w:tcBorders>
              <w:bottom w:val="double" w:sz="10" w:space="0" w:color="000000"/>
            </w:tcBorders>
            <w:shd w:fill="FFFFFF" w:val="clear"/>
            <w:tcMar>
              <w:bottom w:w="28" w:type="dxa"/>
            </w:tcMar>
            <w:vAlign w:val="center"/>
          </w:tcPr>
          <w:p>
            <w:pPr>
              <w:pStyle w:val="TableContents"/>
              <w:bidi w:val="0"/>
              <w:spacing w:before="0" w:after="283"/>
              <w:jc w:val="right"/>
              <w:rPr/>
            </w:pPr>
            <w:r>
              <w:rPr/>
              <w:t>105,013,283*</w:t>
            </w:r>
          </w:p>
        </w:tc>
        <w:tc>
          <w:tcPr>
            <w:tcW w:w="149"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155"/>
        <w:gridCol w:w="6725"/>
      </w:tblGrid>
      <w:tr>
        <w:trPr/>
        <w:tc>
          <w:tcPr>
            <w:tcW w:w="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Giving retroactive effect to reverse recapitalization effected on February 13,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in_004"/>
      <w:bookmarkEnd w:id="43"/>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2025 and 2024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jc w:val="center"/>
        <w:rPr>
          <w:caps w:val="false"/>
          <w:smallCaps w:val="false"/>
        </w:rPr>
      </w:pPr>
      <w:r>
        <w:rPr>
          <w:caps w:val="false"/>
          <w:smallCaps w:val="false"/>
        </w:rPr>
        <w:t> </w:t>
      </w:r>
    </w:p>
    <w:tbl>
      <w:tblPr>
        <w:tblW w:w="12660" w:type="dxa"/>
        <w:jc w:val="left"/>
        <w:tblInd w:w="0" w:type="dxa"/>
        <w:tblLayout w:type="fixed"/>
        <w:tblCellMar>
          <w:top w:w="0" w:type="dxa"/>
          <w:left w:w="0" w:type="dxa"/>
          <w:bottom w:w="0" w:type="dxa"/>
          <w:right w:w="0" w:type="dxa"/>
        </w:tblCellMar>
      </w:tblPr>
      <w:tblGrid>
        <w:gridCol w:w="1550"/>
        <w:gridCol w:w="90"/>
        <w:gridCol w:w="90"/>
        <w:gridCol w:w="1250"/>
        <w:gridCol w:w="90"/>
        <w:gridCol w:w="90"/>
        <w:gridCol w:w="170"/>
        <w:gridCol w:w="710"/>
        <w:gridCol w:w="90"/>
        <w:gridCol w:w="90"/>
        <w:gridCol w:w="170"/>
        <w:gridCol w:w="1205"/>
        <w:gridCol w:w="125"/>
        <w:gridCol w:w="90"/>
        <w:gridCol w:w="182"/>
        <w:gridCol w:w="1293"/>
        <w:gridCol w:w="125"/>
        <w:gridCol w:w="90"/>
        <w:gridCol w:w="247"/>
        <w:gridCol w:w="1318"/>
        <w:gridCol w:w="125"/>
        <w:gridCol w:w="90"/>
        <w:gridCol w:w="204"/>
        <w:gridCol w:w="1451"/>
        <w:gridCol w:w="125"/>
        <w:gridCol w:w="90"/>
        <w:gridCol w:w="170"/>
        <w:gridCol w:w="1205"/>
        <w:gridCol w:w="135"/>
      </w:tblGrid>
      <w:tr>
        <w:trPr/>
        <w:tc>
          <w:tcPr>
            <w:tcW w:w="155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retained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Non-controlling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shareholders’</w:t>
            </w:r>
          </w:p>
        </w:tc>
        <w:tc>
          <w:tcPr>
            <w:tcW w:w="135" w:type="dxa"/>
            <w:tcBorders/>
            <w:vAlign w:val="center"/>
          </w:tcPr>
          <w:p>
            <w:pPr>
              <w:pStyle w:val="TableContents"/>
              <w:bidi w:val="0"/>
              <w:spacing w:before="0" w:after="283"/>
              <w:ind w:left="0" w:right="0" w:hanging="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Balance as of March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104,972,376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1,094,597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13,311,878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(28,860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2,767,775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17,155,888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Recognition of non-controlling interest from acquisition of subsidiaries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381,947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182,599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564,546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Accretion from change in fair value of ordinary shares subject to possible redemption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(12,652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(12,652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(1,373,504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(587,452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(1,960,956</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Shares issuance for partial settlement of contingent consideration for acquisition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266,206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266,214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Foreign currency translation adjustments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(91,691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12" w:space="0" w:color="000000"/>
            </w:tcBorders>
            <w:shd w:fill="FFFFFF" w:val="clear"/>
            <w:tcMar>
              <w:bottom w:w="28" w:type="dxa"/>
            </w:tcMar>
            <w:vAlign w:val="center"/>
          </w:tcPr>
          <w:p>
            <w:pPr>
              <w:pStyle w:val="TableContents"/>
              <w:bidi w:val="0"/>
              <w:spacing w:before="0" w:after="283"/>
              <w:jc w:val="right"/>
              <w:rPr/>
            </w:pPr>
            <w:r>
              <w:rPr/>
              <w:t>3,810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(87,881</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b/>
              </w:rPr>
            </w:pPr>
            <w:r>
              <w:rPr>
                <w:b/>
              </w:rPr>
              <w:t>Balance as of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105,055,345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1,730,098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11,938,374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(120,551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2,366,732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15,925,159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Reclassification of redeemable ordinary shares from mezzanine to permanent equity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217,724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699,978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5,587,625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(538,204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5,049,421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Acquisition of additional controlling interest of subsidiaries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(192,186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2,030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(740,725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(930,881</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Shares issuance for partial settlement of contingent consideration for acquisition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1,059,628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2,633,344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2,633,450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Ordinary shares issued for conversion of convertible notes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7,338,887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734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25,062,327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25,063,061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ordinary share upon the reverse recapitalization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6,276,394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(10,081,840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(10,081,212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Incremental fair value of warrants upon the reverse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12,014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(12,014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Merger transaction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(1,713,953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(1,713,953</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Share-based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2,000,000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296,833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1" w:type="dxa"/>
            <w:tcBorders>
              <w:bottom w:val="single" w:sz="12" w:space="0" w:color="000000"/>
            </w:tcBorders>
            <w:shd w:fill="CCEEFF" w:val="clear"/>
            <w:tcMar>
              <w:bottom w:w="28" w:type="dxa"/>
            </w:tcMar>
            <w:vAlign w:val="center"/>
          </w:tcPr>
          <w:p>
            <w:pPr>
              <w:pStyle w:val="TableContents"/>
              <w:bidi w:val="0"/>
              <w:spacing w:before="0" w:after="283"/>
              <w:jc w:val="right"/>
              <w:rPr/>
            </w:pPr>
            <w:r>
              <w:rPr/>
              <w:t>15,384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312,217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b/>
              </w:rPr>
            </w:pPr>
            <w:r>
              <w:rPr>
                <w:b/>
              </w:rPr>
              <w:t>Balance as of March 31, 2025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121,947,978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12,196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18,149,582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17,513,985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178,312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1,103,187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36,957,262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(24,995,830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(1,207,391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(26,203,221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Recognition of non-controlling interest through business combination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27,070,012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27,070,012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Acquisition of additional non-controlling interest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(24,806,735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(24,806,735</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Recognition of non-controlling interest upon sales of controlling interest in a subsidiary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21,011,125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1,988,875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23,000,000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Ordinary shares issued for conversion of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2,645,024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2,791,711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2,791,976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Ordinary shares issued for settlement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547,183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55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1,121,671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1,121,726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Ordinary shares issued from shares subscription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2,499,937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2,500,000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Ordinary shares released from escrow in connection with bonus shares issued pursuant to the convertible note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2,201,665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(1,460,320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(1,460,100</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41,853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99,996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Foreign currency translation adjustments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(125,636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12" w:space="0" w:color="000000"/>
            </w:tcBorders>
            <w:shd w:fill="FFFFFF" w:val="clear"/>
            <w:tcMar>
              <w:bottom w:w="28" w:type="dxa"/>
            </w:tcMar>
            <w:vAlign w:val="center"/>
          </w:tcPr>
          <w:p>
            <w:pPr>
              <w:pStyle w:val="TableContents"/>
              <w:bidi w:val="0"/>
              <w:spacing w:before="0" w:after="283"/>
              <w:jc w:val="right"/>
              <w:rPr/>
            </w:pPr>
            <w:r>
              <w:rPr/>
              <w:t>(49,678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(175,314</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b/>
              </w:rPr>
            </w:pPr>
            <w:r>
              <w:rPr>
                <w:b/>
              </w:rPr>
              <w:t>Balance as of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128,008,703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12,803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44,213,702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double" w:sz="10" w:space="0" w:color="000000"/>
            </w:tcBorders>
            <w:shd w:fill="CCEEFF" w:val="clear"/>
            <w:tcMar>
              <w:bottom w:w="28" w:type="dxa"/>
            </w:tcMar>
            <w:vAlign w:val="center"/>
          </w:tcPr>
          <w:p>
            <w:pPr>
              <w:pStyle w:val="TableContents"/>
              <w:bidi w:val="0"/>
              <w:spacing w:before="0" w:after="283"/>
              <w:jc w:val="right"/>
              <w:rPr/>
            </w:pPr>
            <w:r>
              <w:rPr/>
              <w:t>(7,481,845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52,676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51" w:type="dxa"/>
            <w:tcBorders>
              <w:bottom w:val="double" w:sz="10" w:space="0" w:color="000000"/>
            </w:tcBorders>
            <w:shd w:fill="CCEEFF" w:val="clear"/>
            <w:tcMar>
              <w:bottom w:w="28" w:type="dxa"/>
            </w:tcMar>
            <w:vAlign w:val="center"/>
          </w:tcPr>
          <w:p>
            <w:pPr>
              <w:pStyle w:val="TableContents"/>
              <w:bidi w:val="0"/>
              <w:spacing w:before="0" w:after="283"/>
              <w:jc w:val="right"/>
              <w:rPr/>
            </w:pPr>
            <w:r>
              <w:rPr/>
              <w:t>4,098,270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40,895,606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155"/>
        <w:gridCol w:w="7040"/>
      </w:tblGrid>
      <w:tr>
        <w:trPr/>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Giving retroactive effect to reverse recapitalization effected on February 13,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4" w:name="fin_005"/>
      <w:bookmarkEnd w:id="44"/>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1"/>
        <w:gridCol w:w="90"/>
        <w:gridCol w:w="170"/>
        <w:gridCol w:w="1205"/>
        <w:gridCol w:w="125"/>
        <w:gridCol w:w="90"/>
        <w:gridCol w:w="170"/>
        <w:gridCol w:w="1205"/>
        <w:gridCol w:w="125"/>
        <w:gridCol w:w="90"/>
        <w:gridCol w:w="170"/>
        <w:gridCol w:w="1205"/>
        <w:gridCol w:w="149"/>
      </w:tblGrid>
      <w:tr>
        <w:trPr/>
        <w:tc>
          <w:tcPr>
            <w:tcW w:w="541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49" w:type="dxa"/>
            <w:tcBorders/>
            <w:vAlign w:val="center"/>
          </w:tcPr>
          <w:p>
            <w:pPr>
              <w:pStyle w:val="TableContents"/>
              <w:bidi w:val="0"/>
              <w:spacing w:before="0" w:after="283"/>
              <w:ind w:left="0" w:right="0" w:hanging="180"/>
              <w:jc w:val="left"/>
              <w:rPr/>
            </w:pPr>
            <w:r>
              <w:rPr/>
              <w:t> </w:t>
            </w:r>
          </w:p>
        </w:tc>
      </w:tr>
      <w:tr>
        <w:trPr/>
        <w:tc>
          <w:tcPr>
            <w:tcW w:w="5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ind w:left="0" w:right="0" w:hanging="180"/>
              <w:jc w:val="left"/>
              <w:rPr/>
            </w:pPr>
            <w:r>
              <w:rPr/>
              <w:t> </w:t>
            </w:r>
          </w:p>
        </w:tc>
      </w:tr>
      <w:tr>
        <w:trPr/>
        <w:tc>
          <w:tcPr>
            <w:tcW w:w="5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411"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Net (loss)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(26,203,221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5,049,421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(1,960,956</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Adjustments to reconcile net (loss) income to net cash used in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Depreciation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406,830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328,948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320,308</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Amortization of 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1,100,112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1,065,373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1,168,358</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Amortization of right of use assets- operating leases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1,571,856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861,508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839,152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Amortization of right of use assets- finance leases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116,166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113,207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43,900</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Amortization of debt discount and debt issuance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823,492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Provision for (recovery from) credit loss and doubtful accounts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1,218,192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(195,604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484,247</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Loss from disposal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57,202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Loss from disposal of finance leases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(30,093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Deferred taxes benefit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(399,931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(233,848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(669,869</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(73,352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545,428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272,029</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Change in fair value of convertible notes, derivative asset and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10,687,930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(4,875,420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Change in fair value of investment in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1,188,928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Change in operating assets and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Accounts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3,869,088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(6,553,616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(688,981</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Inventories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(1,058,463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(987,139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(1,614,310</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Indefinite-lived 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4,260,532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(7,457,563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3,679,922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Other receivable and other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85,948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(1,078,716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298,028</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Amount due from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344,246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(378,330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Prepayments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(7,323,890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(636,796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(3,418,619</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Prepayments, a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(2,000,000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(3,000,000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(7,221,863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21,091,971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(1,521,354</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Accounts payable, a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(274,021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(2,000,144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2,501,759</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6,672,444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294,594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(153,395</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Other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3,560,478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(11,884,607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2,456,933</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(1,608,203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(851,010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(803,335</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Income tax payables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(310,523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473,709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25,277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Net cash (used in) provided by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(10,496,806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(10,308,634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1,316,296</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CASH FLOWS FROM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Purchases of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(1,152,829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(161,403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(277,645</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Cash paid for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(435,385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(540,496</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Cash paid in business combination, net of cash acquired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(14,280,517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37,517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Loan to third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(350,439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(381,381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Repayment from third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Cash paid in connection with long term investment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(2,500,000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(5,364,229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(18,233,843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(6,342,398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(780,624</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Cash paid for redemption of ordinary shares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(163,905</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Proceed from share subscription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Proceeds from sale of controlling interest in subsidiaries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23,000,000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Proceeds from bank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56,124,193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31,736,150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24,221,605</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Repayments to bank loans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(14,049,923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(28,835,340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(25,419,912</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Advances proceeds related to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Proceeds from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4,887,000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33,025,000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Payments of debt issuance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(763,297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Loan from related parties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214,843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3,954,657</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Advance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(1,382,616</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Repayments to related parties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(1,617,045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Principal payments of finance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(231,757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(63,429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(174,062</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Proceeds from reverse recapitalization, net of payments of transaction costs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611,708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Cash paid in acquiring additional controlling interest in subsidiaries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(24,806,735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(600,000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Payments of deferred merger costs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(699,598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(900,531</w:t>
            </w:r>
          </w:p>
        </w:tc>
        <w:tc>
          <w:tcPr>
            <w:tcW w:w="149" w:type="dxa"/>
            <w:tcBorders/>
            <w:shd w:fill="FFFFFF" w:val="clear"/>
            <w:vAlign w:val="center"/>
          </w:tcPr>
          <w:p>
            <w:pPr>
              <w:pStyle w:val="TableContents"/>
              <w:bidi w:val="0"/>
              <w:spacing w:before="0" w:after="283"/>
              <w:ind w:left="0" w:right="0" w:hanging="180"/>
              <w:jc w:val="left"/>
              <w:rPr/>
            </w:pPr>
            <w:r>
              <w:rPr/>
              <w:t>)</w:t>
            </w:r>
          </w:p>
        </w:tc>
      </w:tr>
      <w:tr>
        <w:trPr/>
        <w:tc>
          <w:tcPr>
            <w:tcW w:w="5411"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46,874,324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33,557,446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135,236</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EFFECT OF EXCHANGE RATE ON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(203,722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138,564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(168,777</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INCREASE IN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17,939,953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17,044,978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502,131</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CASH AND CASH EQUIVALENTS, AND RESTRICTED CASH,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21,378,715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4,333,737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3,831,606</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CASH AND CASH EQUIVALENTS, AND RESTRICTED CASH,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39,318,668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21,378,715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4,333,737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SUPPLEMENTAL CASH FLOWS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Income taxes paid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1,437,823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910,450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723,160</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645,068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597,111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507,803</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SUPPLEMENTAL NON-CASH FLOWS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Fair value of share issuance in acquisition of a subsidiary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687,348</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Accretion of change in fair value of ordinary shares subject to possible redemption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12,652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Right-of-use assets in exchange for 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2,641,841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169,655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1,512,807</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Disposal of operating lease right-of-use asset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27,779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Disposal of finance lease right-of-use asset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56,897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Recognition of non-controlling interest from acquisition of subsidiaries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27,070,012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564,546</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Share issuance for acquisition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266,214</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Deferred merger costs included in other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167,426</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Reclassification of redeemable ordinary shares from mezzanine to permanent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700,000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Recognition of derivative liability from convertible notes’ conversion feature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1,794,000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269,119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Acquisition of additional interest in a subsidiary through recognition of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600,000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Shares issuance for partial settlement of contingent consideration for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1,121,726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2,633,450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Issuance of ordinary shares upon conversion of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2,791,976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25,063,061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Issuance of ordinary share upon the reverse recapitalization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10,081,212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Recognition of incremental fair value of warrants upon the reverse recapitalization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12,014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ind w:left="0" w:right="0" w:hanging="180"/>
              <w:jc w:val="left"/>
              <w:rPr/>
            </w:pPr>
            <w:r>
              <w:rPr/>
              <w:t> </w:t>
            </w:r>
          </w:p>
        </w:tc>
      </w:tr>
      <w:tr>
        <w:trPr/>
        <w:tc>
          <w:tcPr>
            <w:tcW w:w="5411" w:type="dxa"/>
            <w:tcBorders/>
            <w:shd w:fill="CCEEFF" w:val="clear"/>
            <w:vAlign w:val="center"/>
          </w:tcPr>
          <w:p>
            <w:pPr>
              <w:pStyle w:val="TableContents"/>
              <w:bidi w:val="0"/>
              <w:spacing w:before="0" w:after="283"/>
              <w:jc w:val="left"/>
              <w:rPr/>
            </w:pPr>
            <w:r>
              <w:rPr/>
              <w:t>Reclassification of deferred merger costs to 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1,713,953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411" w:type="dxa"/>
            <w:tcBorders/>
            <w:shd w:fill="FFFFFF" w:val="clear"/>
            <w:vAlign w:val="center"/>
          </w:tcPr>
          <w:p>
            <w:pPr>
              <w:pStyle w:val="TableContents"/>
              <w:bidi w:val="0"/>
              <w:spacing w:before="0" w:after="283"/>
              <w:jc w:val="left"/>
              <w:rPr/>
            </w:pPr>
            <w:r>
              <w:rPr/>
              <w:t>Contingent investment consideration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7,500,000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4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reconciles cash and cash equivalents, along with restricted cash, as reported on the statement of financial position to the total amounts presented in the statement of cash flows:</w:t>
      </w:r>
    </w:p>
    <w:p>
      <w:pPr>
        <w:pStyle w:val="TextBody"/>
        <w:bidi w:val="0"/>
        <w:spacing w:before="0" w:after="0"/>
        <w:ind w:left="0" w:right="0" w:hanging="0"/>
        <w:jc w:val="left"/>
        <w:rPr>
          <w:caps w:val="false"/>
          <w:smallCaps w:val="false"/>
        </w:rPr>
      </w:pPr>
      <w:r>
        <w:rPr>
          <w:caps w:val="false"/>
          <w:smallCaps w:val="false"/>
        </w:rPr>
        <w:t> </w:t>
      </w:r>
    </w:p>
    <w:tbl>
      <w:tblPr>
        <w:tblW w:w="9275" w:type="dxa"/>
        <w:jc w:val="left"/>
        <w:tblInd w:w="0" w:type="dxa"/>
        <w:tblLayout w:type="fixed"/>
        <w:tblCellMar>
          <w:top w:w="0" w:type="dxa"/>
          <w:left w:w="0" w:type="dxa"/>
          <w:bottom w:w="0" w:type="dxa"/>
          <w:right w:w="0" w:type="dxa"/>
        </w:tblCellMar>
      </w:tblPr>
      <w:tblGrid>
        <w:gridCol w:w="4910"/>
        <w:gridCol w:w="90"/>
        <w:gridCol w:w="170"/>
        <w:gridCol w:w="1130"/>
        <w:gridCol w:w="90"/>
        <w:gridCol w:w="90"/>
        <w:gridCol w:w="170"/>
        <w:gridCol w:w="1130"/>
        <w:gridCol w:w="90"/>
        <w:gridCol w:w="90"/>
        <w:gridCol w:w="170"/>
        <w:gridCol w:w="1010"/>
        <w:gridCol w:w="135"/>
      </w:tblGrid>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36,577,264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18,247,380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2,677,059</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Restricted cash</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2,741,404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3,131,335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1,656,678</w:t>
            </w:r>
          </w:p>
        </w:tc>
        <w:tc>
          <w:tcPr>
            <w:tcW w:w="13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Total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39,318,668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21,378,715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4,333,737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in_006"/>
      <w:bookmarkEnd w:id="45"/>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(the “Company” or “PubCo”) was incorporated as a Cayman Islands exempted company limited by shares on October 12, 2023. The Company was formed solely for the purpose of completing the transactions contemplated by the merger agreement, dated as of October 18, 2023 (as amended on December 1, 2023, December 15, 2023, January 31, 2024, and September 30, 2024, the “Merger Agreement”). The parties to the Merger Agreement include PubCo, Grand Centrex Limited, a British Virgin Islands business company (“GCL BVI”), GCL Global Limited, a Cayman Islands exempted company limited by shares (“GCL Global”), RF Acquisition Corp., a Delaware corporation (“RFAC”), and RF Dynamic LLC, a Delaware limited liability company (the “Sponsor”). As further discussed below and in Note 3 on February 13, 2025 (the “Closing Date”), the Company consummated the business combination transactions (the “Business Combination”) contemplated by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was incorporated and registered as an exempted Company with limited liability on September 8, 2023, under the laws of the Cayman Islands. GCL Global is a holding Company and has no substantive operations other than holding all of the outstanding equities of its directly and indirectly owned subsidiaries through various recapitalizations.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subsidiaries in Singapore, Malaysia, Thailand, Hong Kong, China, Taiwan, Japan, Brazil, the United Kingdom, and the United Arab Emirates, operates its business in four segments, 1) sale of console games, hardware, computer accessories and other multi-media products, 2) game publishing, 3) media advertising service, and 4)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Reorganization under GCL Global Pte. Ltd (“GCL Global 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SG was incorporated on July 26, 2021, under the laws of Singapore. GCL Global SG is a holding Company and has no substantive operations other than holding all of the outstanding equities of Epicsoft Asia, 4Divinity SG, 2Game, and Starlight.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GCL Global SG completed the acquisition of 100% of the equity interests in Titan Digital Media Pte Ltd (“Titan Digital”), which was held under common control with Grand Centrex Limited (“GCL BVI”). The transaction was executed with a consideration of SGD 10. GCL Global SG and Titan Digital are under the effective control of the same group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GCL Global SG completed the acquisition of 100% of the equity interests in Epicsoft Hong Kong Limited (“Epic HK”), which was held under common control with GCL BVI. The transaction was executed with a consideration of HKD 10. GCL Global SG and Epic HK are effectively controlled by the same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Reorganization under GCL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BVI was incorporated on November 16, 2018, under the laws of British Virgin Island (“BVI”).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BVI is a holding Company and has no substantive operations other than holding all of the outstanding equity of Epic MY after reorganization under GCL Global 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2024, GCL BVI and GCL Global had completed a sequential two-step transaction involving (a) sale by GCL BVI of all its equity interests in GCL Global SG to GCL Global in return for GCL Global shares being issued to the GCL Shareholders (defined below), resulting in (i) GCL Global SG becoming a wholly-owned subsidiary of GCL Global; and (ii) GCL Shareholders holding all issued and outstanding shares in GCL Global; and (b) sale by GCL BVI shareholders holding a total of 99.8% of the total outstanding shares of GCL BVI (“GCL Shareholders”) of their equity interests in GCL BVI to GCL Global, resulting in GCL BVI becoming a 99.8%-owned subsidiary of GCL Global (the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and after the Reorganizations, GCL Global, together with its subsidiaries (as indicated above), is effectively controlled by the major shareholders, and therefore the Reorganization is considered as a recapitalization of entities under common control in accordance with Accounting Standards Codification (“ASC”) 805-50-25. The consolidation of the Company and its subsidiaries have been accounted for at historical cost and prepared on the basis as if the aforementioned transactions had become effective as of the beginning of the first period presented in the accompanying consolidated financial statements in accordance with ASC 805-50-45-5.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Merger and reverse recapitalization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and further discussed in Note 3, the Business Combination was consummated on February 13, 2025. As a result, RFAC and GCL Global, including its subsidiaries, became wholly-owned subsidiaries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RFAC was treated as the “acquired” company for financial reporting purposes. Accordingly, the Business Combination was treated as the equivalent of GCL Global issuing shares for the net assets of RFAC, accompanied by a recapitalization. The net assets of RFAC are stated at historical costs. No goodwill or other intangible assets are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Business Combination, PubCo and its subsidiaries are hereafter referred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activities of the Company and each of the following subsidiaries as of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04"/>
        <w:gridCol w:w="90"/>
        <w:gridCol w:w="5601"/>
        <w:gridCol w:w="90"/>
        <w:gridCol w:w="1820"/>
      </w:tblGrid>
      <w:tr>
        <w:trPr/>
        <w:tc>
          <w:tcPr>
            <w:tcW w:w="2604"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560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Background</w:t>
            </w:r>
          </w:p>
        </w:tc>
        <w:tc>
          <w:tcPr>
            <w:tcW w:w="90" w:type="dxa"/>
            <w:tcBorders/>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Ownership</w:t>
            </w:r>
          </w:p>
        </w:tc>
      </w:tr>
      <w:tr>
        <w:trPr/>
        <w:tc>
          <w:tcPr>
            <w:tcW w:w="26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GCL Global Limited (“GCL Global”)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1" w:type="dxa"/>
            <w:tcBorders/>
            <w:shd w:fill="CCEEFF" w:val="clear"/>
            <w:tcMar>
              <w:bottom w:w="0" w:type="dxa"/>
            </w:tcMar>
            <w:vAlign w:val="center"/>
          </w:tcPr>
          <w:p>
            <w:pPr>
              <w:pStyle w:val="TableContents"/>
              <w:bidi w:val="0"/>
              <w:jc w:val="left"/>
              <w:rPr/>
            </w:pPr>
            <w:r>
              <w:rPr/>
              <w:t xml:space="preserve">●       </w:t>
            </w:r>
            <w:r>
              <w:rPr/>
              <w:t>A Cayman Island company</w:t>
            </w:r>
          </w:p>
          <w:p>
            <w:pPr>
              <w:pStyle w:val="TableContents"/>
              <w:bidi w:val="0"/>
              <w:jc w:val="left"/>
              <w:rPr/>
            </w:pPr>
            <w:r>
              <w:rPr/>
              <w:t xml:space="preserve">●       </w:t>
            </w:r>
            <w:r>
              <w:rPr/>
              <w:t>Incorporated on October 12, 2023</w:t>
            </w:r>
          </w:p>
          <w:p>
            <w:pPr>
              <w:pStyle w:val="TableContents"/>
              <w:bidi w:val="0"/>
              <w:spacing w:before="0" w:after="283"/>
              <w:jc w:val="left"/>
              <w:rPr/>
            </w:pPr>
            <w:r>
              <w:rPr/>
              <w:t xml:space="preserve">●       </w:t>
            </w:r>
            <w:r>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100.0% owned by Pubco</w:t>
            </w:r>
          </w:p>
        </w:tc>
      </w:tr>
      <w:tr>
        <w:trPr/>
        <w:tc>
          <w:tcPr>
            <w:tcW w:w="260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 Acquisition Corp (“RFAC”)</w:t>
            </w:r>
          </w:p>
        </w:tc>
        <w:tc>
          <w:tcPr>
            <w:tcW w:w="90" w:type="dxa"/>
            <w:tcBorders/>
            <w:tcMar>
              <w:bottom w:w="0" w:type="dxa"/>
            </w:tcMar>
            <w:vAlign w:val="center"/>
          </w:tcPr>
          <w:p>
            <w:pPr>
              <w:pStyle w:val="TableContents"/>
              <w:bidi w:val="0"/>
              <w:spacing w:before="0" w:after="283"/>
              <w:jc w:val="left"/>
              <w:rPr/>
            </w:pPr>
            <w:r>
              <w:rPr/>
              <w:t> </w:t>
            </w:r>
          </w:p>
        </w:tc>
        <w:tc>
          <w:tcPr>
            <w:tcW w:w="560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Delaware, US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January 11, 2021</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Holding company</w:t>
            </w:r>
          </w:p>
        </w:tc>
        <w:tc>
          <w:tcPr>
            <w:tcW w:w="9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100.0% owned by Pubco</w:t>
            </w:r>
          </w:p>
        </w:tc>
      </w:tr>
      <w:tr>
        <w:trPr/>
        <w:tc>
          <w:tcPr>
            <w:tcW w:w="26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Grand Centrex Limited (“GCL BVI”)</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BVI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November 16, 2018</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Holding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99.8% owned by GCL Global</w:t>
            </w:r>
          </w:p>
        </w:tc>
      </w:tr>
      <w:tr>
        <w:trPr/>
        <w:tc>
          <w:tcPr>
            <w:tcW w:w="260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GCL Global Pte. Ltd (“GCL Global SG”)</w:t>
            </w:r>
          </w:p>
        </w:tc>
        <w:tc>
          <w:tcPr>
            <w:tcW w:w="90" w:type="dxa"/>
            <w:tcBorders/>
            <w:tcMar>
              <w:bottom w:w="0" w:type="dxa"/>
            </w:tcMar>
            <w:vAlign w:val="center"/>
          </w:tcPr>
          <w:p>
            <w:pPr>
              <w:pStyle w:val="TableContents"/>
              <w:bidi w:val="0"/>
              <w:spacing w:before="0" w:after="283"/>
              <w:jc w:val="left"/>
              <w:rPr/>
            </w:pPr>
            <w:r>
              <w:rPr/>
              <w:t> </w:t>
            </w:r>
          </w:p>
        </w:tc>
        <w:tc>
          <w:tcPr>
            <w:tcW w:w="560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July 26, 2021</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Holding company</w:t>
            </w:r>
          </w:p>
        </w:tc>
        <w:tc>
          <w:tcPr>
            <w:tcW w:w="9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w:t>
            </w:r>
          </w:p>
        </w:tc>
      </w:tr>
      <w:tr>
        <w:trPr/>
        <w:tc>
          <w:tcPr>
            <w:tcW w:w="26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GCL Taiwan Co, Ltd (“GCL Taiwan”)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Taiwan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November 6, 2025</w:t>
            </w:r>
          </w:p>
          <w:p>
            <w:pPr>
              <w:pStyle w:val="TableContents"/>
              <w:bidi w:val="0"/>
              <w:spacing w:before="0" w:after="0"/>
              <w:ind w:left="445" w:right="0" w:hanging="445"/>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gaming Company that engages in the distribution and sales of gaming-related products and related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 SG</w:t>
            </w:r>
          </w:p>
        </w:tc>
      </w:tr>
      <w:tr>
        <w:trPr/>
        <w:tc>
          <w:tcPr>
            <w:tcW w:w="260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Titan Digital Media Pte. Ltd. (“Titan Digital”) (1)</w:t>
            </w:r>
          </w:p>
        </w:tc>
        <w:tc>
          <w:tcPr>
            <w:tcW w:w="90" w:type="dxa"/>
            <w:tcBorders/>
            <w:tcMar>
              <w:bottom w:w="0" w:type="dxa"/>
            </w:tcMar>
            <w:vAlign w:val="center"/>
          </w:tcPr>
          <w:p>
            <w:pPr>
              <w:pStyle w:val="TableContents"/>
              <w:bidi w:val="0"/>
              <w:spacing w:before="0" w:after="283"/>
              <w:jc w:val="left"/>
              <w:rPr/>
            </w:pPr>
            <w:r>
              <w:rPr/>
              <w:t> </w:t>
            </w:r>
          </w:p>
        </w:tc>
        <w:tc>
          <w:tcPr>
            <w:tcW w:w="560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January 08, 2018</w:t>
            </w:r>
          </w:p>
          <w:p>
            <w:pPr>
              <w:pStyle w:val="TableContents"/>
              <w:bidi w:val="0"/>
              <w:spacing w:before="0" w:after="0"/>
              <w:ind w:left="445" w:right="0" w:hanging="445"/>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advertising Company that provides video production, and advertising on social media platform.</w:t>
            </w:r>
          </w:p>
        </w:tc>
        <w:tc>
          <w:tcPr>
            <w:tcW w:w="9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85% owned by GCL Global SG</w:t>
            </w:r>
          </w:p>
        </w:tc>
      </w:tr>
      <w:tr>
        <w:trPr/>
        <w:tc>
          <w:tcPr>
            <w:tcW w:w="26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Epicsoft Asia Pte. Ltd (“Epicsoft Asia”)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September 23, 2014</w:t>
            </w:r>
          </w:p>
          <w:p>
            <w:pPr>
              <w:pStyle w:val="TableContents"/>
              <w:bidi w:val="0"/>
              <w:spacing w:before="0" w:after="0"/>
              <w:ind w:left="445" w:right="0" w:hanging="445"/>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gaming Company that engage in operation of distribution of console games software, and console game code.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 SG</w:t>
            </w:r>
          </w:p>
        </w:tc>
      </w:tr>
      <w:tr>
        <w:trPr/>
        <w:tc>
          <w:tcPr>
            <w:tcW w:w="260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Epicsoft (Hong Kong) Limited (“Epic HK”)</w:t>
            </w:r>
          </w:p>
        </w:tc>
        <w:tc>
          <w:tcPr>
            <w:tcW w:w="90" w:type="dxa"/>
            <w:tcBorders/>
            <w:tcMar>
              <w:bottom w:w="0" w:type="dxa"/>
            </w:tcMar>
            <w:vAlign w:val="center"/>
          </w:tcPr>
          <w:p>
            <w:pPr>
              <w:pStyle w:val="TableContents"/>
              <w:bidi w:val="0"/>
              <w:spacing w:before="0" w:after="283"/>
              <w:jc w:val="left"/>
              <w:rPr/>
            </w:pPr>
            <w:r>
              <w:rPr/>
              <w:t> </w:t>
            </w:r>
          </w:p>
        </w:tc>
        <w:tc>
          <w:tcPr>
            <w:tcW w:w="5601"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April 15, 2005</w:t>
            </w:r>
          </w:p>
          <w:p>
            <w:pPr>
              <w:pStyle w:val="TableContents"/>
              <w:bidi w:val="0"/>
              <w:spacing w:before="0" w:after="0"/>
              <w:ind w:left="445" w:right="0" w:hanging="445"/>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gaming Company that engage in operation of distribution of console games software, and console game code.</w:t>
            </w:r>
          </w:p>
        </w:tc>
        <w:tc>
          <w:tcPr>
            <w:tcW w:w="9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 SG</w:t>
            </w:r>
          </w:p>
        </w:tc>
      </w:tr>
      <w:tr>
        <w:trPr/>
        <w:tc>
          <w:tcPr>
            <w:tcW w:w="26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4Divinity HK Limited (“4Divinity HK”) (5)</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March 12, 2026</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Publishing of game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 owned by GCL Global SG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88"/>
        <w:gridCol w:w="90"/>
        <w:gridCol w:w="3928"/>
        <w:gridCol w:w="90"/>
        <w:gridCol w:w="2209"/>
      </w:tblGrid>
      <w:tr>
        <w:trPr/>
        <w:tc>
          <w:tcPr>
            <w:tcW w:w="3888"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92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Background</w:t>
            </w:r>
          </w:p>
        </w:tc>
        <w:tc>
          <w:tcPr>
            <w:tcW w:w="90" w:type="dxa"/>
            <w:tcBorders/>
            <w:tcMar>
              <w:bottom w:w="0" w:type="dxa"/>
            </w:tcMar>
            <w:vAlign w:val="center"/>
          </w:tcPr>
          <w:p>
            <w:pPr>
              <w:pStyle w:val="TableContents"/>
              <w:bidi w:val="0"/>
              <w:spacing w:before="0" w:after="283"/>
              <w:jc w:val="left"/>
              <w:rPr/>
            </w:pPr>
            <w:r>
              <w:rPr/>
              <w:t> </w:t>
            </w:r>
          </w:p>
        </w:tc>
        <w:tc>
          <w:tcPr>
            <w:tcW w:w="2209"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Ownership</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4Divinity Pte. Ltd. (“4Divinity SG”) (5) (7)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September 30, 2022</w:t>
            </w:r>
          </w:p>
          <w:p>
            <w:pPr>
              <w:pStyle w:val="TableContents"/>
              <w:bidi w:val="0"/>
              <w:spacing w:before="0" w:after="0"/>
              <w:ind w:left="535" w:right="0" w:hanging="535"/>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Publishing of game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91.9% owned by 4Divinity HK</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4Divinity UK Ltd. (“4Divinity UK”)</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United Kingdom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December 4, 2024</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Publishing of game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4Divinity SG</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4Divinity Japan Ltd. (“4Divinity JP”)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Japanese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April 1, 2025</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Publishing of game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4Divinity SG</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Epicsoft Malaysia Sdn. Bhd. (“Epic MY”)</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Malaysian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June 26, 2019</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console game software and hardware.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BVI</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2Game Digital Limited (“2Game”) (2) (5)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May 11, 2022</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console game code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61% owned by 4Divinity HK</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Starry Jewelry Pte. Ltd. (“Starry”)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June 16, 2020</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in jewelry.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Titan Digital</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Martiangear Pte. Ltd. (“Martiangear”)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September 24, 2020</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in gaming desk and chair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 SG</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GCL Technology Co. Ltd. (“Hainan GCL”)</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PRC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July 26, 2024</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console game code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GCL Global SG</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Game Pro LTDA (“2Game Brazil)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Brazil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August 21, 2023</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console game code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2Game</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Game Digital DMCC (“2Game Dubai”)</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U.A.E.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October 1, 2024</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console game code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2Game</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 Leong Technologies Limited (“Ban Leong”)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June 18, 1993</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computer peripherals and accessories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Epicsoft Asia</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Hub Pte. Ltd. (“Digital Hub”) (4)</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March 20, 2003</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computer peripherals and accessories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Ban Leong</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 Labs International Pte. Ltd. (“AV Labs”)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Singapore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June 23, 2006</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Marketing and distribution of computer and hardware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Ban Leong</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 Leong Technologies Sdn. Bhd. (“Ban Leong MY”) (4)</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Malaysia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August 15, 2003</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computer peripherals and accessories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Ban Leong</w:t>
            </w:r>
          </w:p>
        </w:tc>
      </w:tr>
      <w:tr>
        <w:trPr/>
        <w:tc>
          <w:tcPr>
            <w:tcW w:w="38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 Leong Chin Inter Co., Ltd. (“Ban Leong Thailand”)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Thailand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July 16, 2004</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computer peripherals and accessories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60% owned by Ban Leong</w:t>
            </w:r>
          </w:p>
        </w:tc>
      </w:tr>
      <w:tr>
        <w:trPr/>
        <w:tc>
          <w:tcPr>
            <w:tcW w:w="388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BLC (China) Limited (“BLC China”) (4) (6)</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28"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PRC company</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Incorporated on November 27, 2008</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of corporate gift cards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0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 owned by Ban Leong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12, 2024, Titan Digital sold all of its equity interest in Martiangear to GCL Global SG for a total consideration of SGD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19, 2025, GCL Global SG acquired an additional 10% equity interest in 2Game for a total consideration of $1,200,000. As a result of this acquisition, GCL Global SG increased its equity interest in 2Game from 51% to 61% (See Note 19).</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 2025, 4Divinity JP was established under the laws of Japan to serve as the Company’s legal entity presence in Japan, facilitating anticipated business activities and supporting future commercial operations in the region.</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Epicsoft Asia launched a voluntary conditional cash offer to acquire all of the issued and paid-up ordinary shares of Ban Leong Technologies Limited (“Ban Leong”), a company listed on the Singapore Exchange Securities Trading Limited (“SGX-ST”), at an offer price of S$0.6029 per share.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was declared unconditional on May 27, 2025, at which time Epicsoft Asia and parties acting in concert owned, controlled, or had valid acceptances for approximately 50.9% of Ban Leong’s issued shares, resulting in Epicsoft Asia obtaining effective control of Ban Leong.</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offer becoming unconditional, Epicsoft Asia continued to receive acceptances, resulting in ownership of more than 90% of Ban Leong’s issued shares. Accordingly, Epicsoft Asia exercised its right of compulsory acquisition pursuant to the Companies Act 1967 of Singapore to acquire the remaining shares not tendered in the offer. Upon completion of the compulsory acquisition on August 25, 2025, Epicsoft Asia became the sole shareholder owning 100% of the issued and outstanding shares of Ban Leong. Ban Leong was delisted from the SGX-ST on August 26, 2025. (Note 4)</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0" w:type="dxa"/>
            <w:tcBorders/>
            <w:vAlign w:val="center"/>
          </w:tcPr>
          <w:p>
            <w:pPr>
              <w:pStyle w:val="TableContents"/>
              <w:bidi w:val="0"/>
              <w:spacing w:before="0" w:after="283"/>
              <w:jc w:val="both"/>
              <w:rPr/>
            </w:pPr>
            <w:r>
              <w:rPr/>
              <w:t>On March 25, 2026, the Company completed an internal reorganization of its corporate structure by transferring GCL Global SG’s equity interests in 4Divinity SG and 2Game, respectivly to 4Divinity HK. Following the transfers, 4Divinity HK directly held 95.1% and 61% of the equity interests in 4Divinity SG and 2Game, respectively. On April 14, 2026, GCL Global SG completed an internal reorganization pursuant to which it transferred its remaining ordinary shares in 4Divinity SG to 4Divinity HK Limited. As a result of the share transfer, 4Divinity SG became a subsidiary of 4Divinity HK Limited. The share transfers were completed as part of an internal restructuring among entities under common control and did not result in any change in the Company’s ultimate beneficial ownership or control. Accordingly, the transfers had no impact on the Company’s consolidated financial statements.</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2, 2026, BLC China was dissolved. The dissolution did not have a material impact on the Company’s operations or its consolidated financial statements. The loss recognized in connection with the dissolution was immaterial.</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and January 15, 2026, the Company’s subsidiary, 4Divinity SG, entered into share subscription agreements with an accredited investor, pursuant to which the investor agreed to subscribe for an aggregate of 5,200,000 newly issued ordinary shares at a subscription price of $2.50 per share, for an aggregate consideration of $13,000,000. As of March 31, 2026, upon completion of the subscriptions, the Company had received aggregate purchase consideration of $13,000,000, and the accredited investor held a 4.9% equity interest in 4Divinity SG.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4Divinity SG entered into an additional share subscription agreement with the accredited investor, pursuant to which the investor agreed to subscribe for additional newly issued ordinary shares at a subscription price of $2.75 per share for aggregate consideration of $10,000,000. As of March 31, 2026, the Company had received the $10,000,000 subscription proceeds, and the subscription had been completed. The related ordinary shares were subsequently issued in April 2026. As of March 31, 2026, the accredited investor beneficially owned approximately 8.1% of the Company’s outstanding ordinary shares. Subsequent to March 31, 2026, 4Divinity SG entered into an additional share subscription agreement with the same accredited investor for aggregate consideration of $9,000,000 at a subscription price of $3.50 per share. As of the date of issuance of these consolidated financial statements, all subscriptions had been completed, resulting in aggregate purchase consideration of $32,000,000 and the accredited investor holding a 10.2% equity interest in 4Divinity SG.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for information pursuant to the rules and regulations of the Securities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transactions and balances among the Company and its subsidiaries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Significant accounting estimates reflected in the Company’s consolidated financial statements include reserve for excess and obsolete inventory, estimates of impairment of long-lived assets and goodwill, other provisions and contingencies, contingent consideration for acquisition, fair value of investment in convertible note, fair value of derivative asset and liability and estimated fair value used in business acquisitions. Actual results could differ from these estimates, and as such, differences may be material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 and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remeasured into the functional currency at the exchange rates prevailing at the dates of the transaction. Monetary assets and liabilities denominated in currencies other than the functional currency are remeasured into the functional currency using the applicable exchange rates at the balance sheet dates. The resulting exchange differences are recorded in the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Company is United States Dollars (“US$”) and the accompanying financial statements have been expressed in US$. The Company’s subsidiaries in Singapore, Hong Kong, Malaysia, China, Brazil, the United Kingdom, Japan, Thailand, Dubai and Taiwan conduct their businesses and maintain their books and records in US$, or local currencies of Singapore Dollars (“SGD”), Hong Kong Dollar (“HKD”), Malaysian Ringgit (“MYR”), Chinese Yuan (“RMB”), Brazil Real (“BRL”), Great Britain Pound (“GBP”), Japanese Yen (“JPY”), Thai Baht (“THB”), United Arab Emirates Dirham (“AED”) and Taiwan dollar (“TWD”) as their respective functional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change in shareholders’ equity. Cash flows are also translated at average translation rates for the periods. Therefore, amounts reported on the statement of cash flows will not necessarily agree with changes in the corresponding balances on the consolidated balance sheets.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business combinations using the acquisition method of accounting in accordance with ASC 805 “Business Combinations.” The cost of an acquisition is measured as the aggregate of the acquisition date fair value of the assets transferred to the sellers and liabilities incurred by the Company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subsidiaries acquired, the difference is recognized directly in the consolidated statements of operations and comprehensive income (loss).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non-wholly owned subsidiaries, a non-controlling interest is recognized to reflect portion of equity that is not attributable, directly or indirectly, to the Company. The cumulative results of operations attributable to non-controlling interests are also recorded as non-controlling interests in the Company’s consolidated balance sheets and consolidated statements of operations and comprehensive income (loss). Cash flows related to transactions with non-controlling interests are presented under financing activities 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is identified as the Company’s chief operating decision-maker who reviews financial information presented on a consolidated basis, together with disaggregated financial information for the Company’s operating segments, and evaluates segment performance and allocates resources primarily based on segment profit (loss). Based on qualitative and quantitative criteria established by Accounting Standards Codification (“ASC”) 280, “Segment Reporting”, the Company considers itself to be operating within three reportable segments as set forth in Note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carried at cost and represents cash on hand. Cash equivalents consist of time deposits placed with banks or other financial institutions and all highly liquid investments with an original maturity of three months or less. In addition, cash equivalents also consist of funds received from customers, which were held at the third-party platform’s account, and which are unrestricted and immediately available for withdrawal and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fixed deposits being held as collateral to secure the banking facilities. As of March 31, 2026 and 2025, the Company had deposit amounted to $2,741,404 and $3,131,335, respectively, held in the banks as collateral to secure the banking facilities which the Company signed with HSBC Bank and Citibank (referred to Note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the original invoiced amount less an allowance for credit losses and do not bear interest. Customers who owed accounts receivables, are granted credit terms based on their credit metrics. The Company measured the credit loss against its accounts receivable and records the allowance for credit losses as an offset to accounts receivable, and the estimated credit losses charged to the allowance is classified as “general and administrative” in the consolidated statements of operations and comprehensive income (loss). The Company assesses collectability by reviewing accounts receivable on a collective basis where similar characteristics exist, primarily based on similar business line, service or product offerings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 of future economic conditions and other factors that may affect the Company’s ability to collect from customers. As of March 31, 2026 and 2025, the Company provided allowance for credit loss of $1,343,107 and $248,956,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Weighted average method is the inventory valuation method applied to these inventories. Inventories mainly include physical console game compact disc, gaming hardware, computer peripherals, and accessories which are purchased from the Company’s suppliers as merchandized goods. Inventories are reviewed for potential write-down for estimated obsolescence or unmarketable inventories which equals the difference between the costs of inventories and the estimated net realizable value based upon forecasts for future demand and market conditions. When inventories are written down to net realizable value, it is not marked up subsequently based on changes in underlying facts and circumstances. For the years ended March 31, 2026, 2025 and 2024, $172,282, $211,356 and $468,941 of inventories write-down were recorded,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receivables and other current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primarily include receivables from the marketing expense related to promoting console games that the Company paid on behalf of vendors, and refundable deposit such as rental deposit. The Company measures credit loss against its other receivables using the current expected credit loss model under ASC 326. As of March 31, 2026 and 2025, the Company provided allowance for credit loss of $149,739 and $27,923,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Prepayments,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mainly consist of cash deposited or advanced to suppliers for future inventory purchases and minimum guarantee (“MG”) payments made to game developers under publishing agreements. Prepayments for future inventory purchases are refundable if the purchases are not completed and bear no interest. MG payments are advances made to game developers under publishing agreements and are generally recoupable from future game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prepayments for which management determines that the Company will not receive inventories or services, recoup the advances, or obtain a refund, as applicable, the Company will recognize an allowance to reserve such balances. Management regularly reviews the aging of such balances and changes in payment and realization trends and records allowances when management believes collection or realization of amounts due are at risk. Delinquent account balances are written off against the allowance after management has determined that the likelihood of completion, collection or realization is not probable. As of March 31, 2026 and 2025, the Company provided allowances related to prepayments of $286,098 and $114,792,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is computed using the straight-line method over the estimated useful lives of the assets with no residual value. The estimated useful lives are as follows: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3215"/>
        <w:gridCol w:w="90"/>
        <w:gridCol w:w="3380"/>
      </w:tblGrid>
      <w:tr>
        <w:trPr/>
        <w:tc>
          <w:tcPr>
            <w:tcW w:w="3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8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Expected useful lives</w:t>
            </w:r>
          </w:p>
        </w:tc>
      </w:tr>
      <w:tr>
        <w:trPr/>
        <w:tc>
          <w:tcPr>
            <w:tcW w:w="321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center"/>
              <w:rPr/>
            </w:pPr>
            <w:r>
              <w:rPr/>
              <w:t>3 years</w:t>
            </w:r>
          </w:p>
        </w:tc>
      </w:tr>
      <w:tr>
        <w:trPr/>
        <w:tc>
          <w:tcPr>
            <w:tcW w:w="3215" w:type="dxa"/>
            <w:tcBorders/>
            <w:shd w:fill="FFFFFF" w:val="clear"/>
            <w:vAlign w:val="center"/>
          </w:tcPr>
          <w:p>
            <w:pPr>
              <w:pStyle w:val="TableContents"/>
              <w:bidi w:val="0"/>
              <w:spacing w:before="0" w:after="283"/>
              <w:jc w:val="left"/>
              <w:rPr/>
            </w:pPr>
            <w:r>
              <w:rPr/>
              <w:t>Furniture &amp; fitting</w:t>
            </w:r>
          </w:p>
        </w:tc>
        <w:tc>
          <w:tcPr>
            <w:tcW w:w="90" w:type="dxa"/>
            <w:tcBorders/>
            <w:shd w:fill="FFFFFF" w:val="clear"/>
            <w:vAlign w:val="center"/>
          </w:tcPr>
          <w:p>
            <w:pPr>
              <w:pStyle w:val="TableContents"/>
              <w:bidi w:val="0"/>
              <w:spacing w:before="0" w:after="283"/>
              <w:jc w:val="left"/>
              <w:rPr/>
            </w:pPr>
            <w:r>
              <w:rPr/>
              <w:t> </w:t>
            </w:r>
          </w:p>
        </w:tc>
        <w:tc>
          <w:tcPr>
            <w:tcW w:w="3380" w:type="dxa"/>
            <w:tcBorders/>
            <w:shd w:fill="FFFFFF" w:val="clear"/>
            <w:vAlign w:val="center"/>
          </w:tcPr>
          <w:p>
            <w:pPr>
              <w:pStyle w:val="TableContents"/>
              <w:bidi w:val="0"/>
              <w:spacing w:before="0" w:after="283"/>
              <w:jc w:val="center"/>
              <w:rPr/>
            </w:pPr>
            <w:r>
              <w:rPr/>
              <w:t>3 years</w:t>
            </w:r>
          </w:p>
        </w:tc>
      </w:tr>
      <w:tr>
        <w:trPr/>
        <w:tc>
          <w:tcPr>
            <w:tcW w:w="3215" w:type="dxa"/>
            <w:tcBorders/>
            <w:shd w:fill="CCEEFF" w:val="clear"/>
            <w:vAlign w:val="center"/>
          </w:tcPr>
          <w:p>
            <w:pPr>
              <w:pStyle w:val="TableContents"/>
              <w:bidi w:val="0"/>
              <w:spacing w:before="0" w:after="283"/>
              <w:jc w:val="left"/>
              <w:rPr/>
            </w:pPr>
            <w:r>
              <w:rPr/>
              <w:t>Motor vehicle</w:t>
            </w:r>
          </w:p>
        </w:tc>
        <w:tc>
          <w:tcPr>
            <w:tcW w:w="9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center"/>
              <w:rPr/>
            </w:pPr>
            <w:r>
              <w:rPr/>
              <w:t>3-5 years</w:t>
            </w:r>
          </w:p>
        </w:tc>
      </w:tr>
      <w:tr>
        <w:trPr/>
        <w:tc>
          <w:tcPr>
            <w:tcW w:w="3215" w:type="dxa"/>
            <w:tcBorders/>
            <w:shd w:fill="FFFFFF" w:val="clear"/>
            <w:vAlign w:val="center"/>
          </w:tcPr>
          <w:p>
            <w:pPr>
              <w:pStyle w:val="TableContents"/>
              <w:bidi w:val="0"/>
              <w:spacing w:before="0" w:after="283"/>
              <w:jc w:val="left"/>
              <w:rPr/>
            </w:pPr>
            <w:r>
              <w:rPr/>
              <w:t>Office and warehouse renovation</w:t>
            </w:r>
          </w:p>
        </w:tc>
        <w:tc>
          <w:tcPr>
            <w:tcW w:w="90" w:type="dxa"/>
            <w:tcBorders/>
            <w:shd w:fill="FFFFFF" w:val="clear"/>
            <w:vAlign w:val="center"/>
          </w:tcPr>
          <w:p>
            <w:pPr>
              <w:pStyle w:val="TableContents"/>
              <w:bidi w:val="0"/>
              <w:spacing w:before="0" w:after="283"/>
              <w:jc w:val="left"/>
              <w:rPr/>
            </w:pPr>
            <w:r>
              <w:rPr/>
              <w:t> </w:t>
            </w:r>
          </w:p>
        </w:tc>
        <w:tc>
          <w:tcPr>
            <w:tcW w:w="3380" w:type="dxa"/>
            <w:tcBorders/>
            <w:shd w:fill="FFFFFF" w:val="clear"/>
            <w:vAlign w:val="center"/>
          </w:tcPr>
          <w:p>
            <w:pPr>
              <w:pStyle w:val="TableContents"/>
              <w:bidi w:val="0"/>
              <w:spacing w:before="0" w:after="283"/>
              <w:jc w:val="center"/>
              <w:rPr/>
            </w:pPr>
            <w:r>
              <w:rPr/>
              <w:t>Shorter of the lease term or 3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is included in the consolidated statements of operations and comprehensive income (loss). Expenditures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Indefinite-lived intangible assets (Console Game Codes)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indefinite-lived intangible assets consisted of the console game codes. The console game codes represent sequences of code providing users with access to specific video games. Acquired from vendors in batches, their primary purpose is for resale. Each console game code grants single access right to the user and is individually identified at cost upon purchase from its vendor.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console game code is defined as an intangible asset, due to its lack of physical form. The useful life of an intangible asset should be considered indefinite if no legal, regulatory, contractual, competitive, economic, or other factors limit its useful life to the reporting entity in accordance with ASC 350-30-35-4. Consequently, each console game code is recorded at cost on the Company’s consolidated balance sheet and is not subject to amortization. Instead, the cost of each game code will be transferred to cost of goods sold upon the sale of each individual code. Additionally, the remaining balance of the console game codes will continue to generate cash flows from sales activities until the last code is sold, with the total balance and the number of console game codes decreasing as individual codes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testing for indefinite-lived intangible assets is conducted on both an interim and annual basis to assess whether the carrying value of an individual asset exceeds its fair value. When the carrying value exceeds fair value, the carrying amount is reduced to the fair value. The assessment for impairment incorporates a review of external factors, including current market prices for console game codes, market demand trends, and market competition. Additionally, the evaluation considers the long-term viability of the console game codes, factoring in elements such as platform support and the lifespan of the gaming ecosystem in which the console game codes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fair market value of an indefinite-lived intangible asset is determined to be lower than its carrying value at any point during the reporting period, an impairment loss equal to the difference is recognized in the consolidated statements of operations and comprehensive income (loss). For the years ended March 31, 2026, 2025 and 2024, impairment losses of $16,901, $11,688 and $500,684 respectively, were recorded against indefinite-lived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Definite-lived intangible assets consisted primarily of customer relationships, trademark and license. The estimated useful life and amortization methodology of intangible assets are determined based on the period in which they are expected to contribute directly to cash flows in accordance with ASC Topic 350 “Intangibles — Goodwill and Other”. Intangible assets that are determined to have a definite life are amortized over the life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Definite-lived 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identifiable intangible assets is based on the amount by which the carrying amount of the assets exceeds its fair value determined by using a discounted cash flow model.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equity investments without a readily determinable fair value under ASC 321, Investments - Equity Securities. Such investments are initially measured at cost and subsequently adjusted for observable price changes and impairments, if applicable. Impairment assessments are conducted at each reporting date, and any impairment losses are recognized in the consolidated statement of operations and comprehensive loss. Equity investments are evaluated to determine whether they meet the definition of in-substance common stock under ASC 323, Investments - Equity Method and Joint Ventures. Investments that fail to meet this definition are not accounted for under the equity method. Instead, they are classified and measured in accordance with ASC 321.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Goodwill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consideration paid of an acquisition over the fair value of the net identifiable assets of the acquired subsidiaries at the date of acquisition. Goodwill is not amortized and is tested for impairment at least annually, or more often when circumstances indicate impairment may have occurred. Goodwill is carried at cost less accumulated impairment losses. If impairment exists, goodwill is immediately written off to its fair value and the loss is recognized in the consolidated statements of operations and comprehensive income (loss). Impairment losses on goodwill are not reversed.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changes in the carrying amount of goodwill for each reporting unit: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3"/>
        <w:gridCol w:w="90"/>
        <w:gridCol w:w="230"/>
        <w:gridCol w:w="1533"/>
        <w:gridCol w:w="90"/>
        <w:gridCol w:w="90"/>
        <w:gridCol w:w="226"/>
        <w:gridCol w:w="1370"/>
        <w:gridCol w:w="90"/>
        <w:gridCol w:w="90"/>
        <w:gridCol w:w="170"/>
        <w:gridCol w:w="1145"/>
        <w:gridCol w:w="90"/>
        <w:gridCol w:w="90"/>
        <w:gridCol w:w="170"/>
        <w:gridCol w:w="830"/>
        <w:gridCol w:w="90"/>
        <w:gridCol w:w="90"/>
        <w:gridCol w:w="170"/>
        <w:gridCol w:w="1130"/>
        <w:gridCol w:w="138"/>
      </w:tblGrid>
      <w:tr>
        <w:trPr/>
        <w:tc>
          <w:tcPr>
            <w:tcW w:w="228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Console game, </w:t>
              <w:br/>
              <w:t xml:space="preserve">hardware, </w:t>
              <w:br/>
              <w:t xml:space="preserve">computer </w:t>
              <w:br/>
              <w:t xml:space="preserve">accessories and </w:t>
              <w:br/>
              <w:t xml:space="preserve">other  multi-media </w:t>
              <w:br/>
              <w:t>products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Game Publishing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Advertising</w:t>
              <w:br/>
              <w:t>service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8" w:type="dxa"/>
            <w:tcBorders/>
            <w:vAlign w:val="center"/>
          </w:tcPr>
          <w:p>
            <w:pPr>
              <w:pStyle w:val="TableContents"/>
              <w:bidi w:val="0"/>
              <w:spacing w:before="0" w:after="283"/>
              <w:jc w:val="left"/>
              <w:rPr/>
            </w:pPr>
            <w:r>
              <w:rPr/>
              <w:t> </w:t>
            </w:r>
          </w:p>
        </w:tc>
      </w:tr>
      <w:tr>
        <w:trPr/>
        <w:tc>
          <w:tcPr>
            <w:tcW w:w="2283" w:type="dxa"/>
            <w:tcBorders/>
            <w:shd w:fill="CCEEFF" w:val="clear"/>
            <w:vAlign w:val="center"/>
          </w:tcPr>
          <w:p>
            <w:pPr>
              <w:pStyle w:val="TableContents"/>
              <w:bidi w:val="0"/>
              <w:spacing w:before="0" w:after="283"/>
              <w:jc w:val="left"/>
              <w:rPr>
                <w:b/>
              </w:rPr>
            </w:pPr>
            <w:r>
              <w:rPr>
                <w:b/>
              </w:rPr>
              <w:t>Balance at March 31, 2024</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b/>
              </w:rPr>
            </w:pPr>
            <w:r>
              <w:rPr>
                <w:b/>
              </w:rPr>
              <w:t>$</w:t>
            </w:r>
          </w:p>
        </w:tc>
        <w:tc>
          <w:tcPr>
            <w:tcW w:w="1533" w:type="dxa"/>
            <w:tcBorders/>
            <w:shd w:fill="CCEEFF" w:val="clear"/>
            <w:vAlign w:val="center"/>
          </w:tcPr>
          <w:p>
            <w:pPr>
              <w:pStyle w:val="TableContents"/>
              <w:bidi w:val="0"/>
              <w:spacing w:before="0" w:after="283"/>
              <w:jc w:val="right"/>
              <w:rPr>
                <w:b/>
              </w:rPr>
            </w:pPr>
            <w:r>
              <w:rPr>
                <w:b/>
              </w:rPr>
              <w:t>2,721,521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b/>
              </w:rPr>
            </w:pPr>
            <w:r>
              <w:rPr>
                <w:b/>
              </w:rPr>
              <w:t>$</w:t>
            </w:r>
          </w:p>
        </w:tc>
        <w:tc>
          <w:tcPr>
            <w:tcW w:w="1370" w:type="dxa"/>
            <w:tcBorders/>
            <w:shd w:fill="CCEEFF" w:val="clear"/>
            <w:vAlign w:val="center"/>
          </w:tcPr>
          <w:p>
            <w:pPr>
              <w:pStyle w:val="TableContents"/>
              <w:bidi w:val="0"/>
              <w:spacing w:before="0" w:after="0"/>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45" w:type="dxa"/>
            <w:tcBorders/>
            <w:shd w:fill="CCEEFF" w:val="clear"/>
            <w:vAlign w:val="center"/>
          </w:tcPr>
          <w:p>
            <w:pPr>
              <w:pStyle w:val="TableContents"/>
              <w:bidi w:val="0"/>
              <w:spacing w:before="0" w:after="0"/>
              <w:jc w:val="right"/>
              <w:rPr/>
            </w:pPr>
            <w:r>
              <w:rPr/>
              <w:t>                 </w:t>
            </w: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268,873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2,990,394</w:t>
            </w:r>
          </w:p>
        </w:tc>
        <w:tc>
          <w:tcPr>
            <w:tcW w:w="138" w:type="dxa"/>
            <w:tcBorders/>
            <w:shd w:fill="CCEEFF" w:val="clear"/>
            <w:vAlign w:val="center"/>
          </w:tcPr>
          <w:p>
            <w:pPr>
              <w:pStyle w:val="TableContents"/>
              <w:bidi w:val="0"/>
              <w:spacing w:before="0" w:after="283"/>
              <w:jc w:val="left"/>
              <w:rPr/>
            </w:pPr>
            <w:r>
              <w:rPr/>
              <w:t> </w:t>
            </w:r>
          </w:p>
        </w:tc>
      </w:tr>
      <w:tr>
        <w:trPr/>
        <w:tc>
          <w:tcPr>
            <w:tcW w:w="2283" w:type="dxa"/>
            <w:tcBorders/>
            <w:shd w:fill="FFFFFF" w:val="clear"/>
            <w:vAlign w:val="center"/>
          </w:tcPr>
          <w:p>
            <w:pPr>
              <w:pStyle w:val="TableContents"/>
              <w:bidi w:val="0"/>
              <w:spacing w:before="0" w:after="283"/>
              <w:jc w:val="left"/>
              <w:rPr/>
            </w:pPr>
            <w:r>
              <w:rPr/>
              <w:t>Impairments</w:t>
            </w:r>
          </w:p>
        </w:tc>
        <w:tc>
          <w:tcPr>
            <w:tcW w:w="9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2283"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bidi w:val="0"/>
              <w:spacing w:before="0" w:after="283"/>
              <w:jc w:val="right"/>
              <w:rPr>
                <w:b/>
              </w:rPr>
            </w:pPr>
            <w:r>
              <w:rPr>
                <w:b/>
              </w:rPr>
              <w:t>2,721,521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268,873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2,990,394</w:t>
            </w:r>
          </w:p>
        </w:tc>
        <w:tc>
          <w:tcPr>
            <w:tcW w:w="138" w:type="dxa"/>
            <w:tcBorders/>
            <w:shd w:fill="CCEEFF" w:val="clear"/>
            <w:vAlign w:val="center"/>
          </w:tcPr>
          <w:p>
            <w:pPr>
              <w:pStyle w:val="TableContents"/>
              <w:bidi w:val="0"/>
              <w:spacing w:before="0" w:after="283"/>
              <w:jc w:val="left"/>
              <w:rPr/>
            </w:pPr>
            <w:r>
              <w:rPr/>
              <w:t> </w:t>
            </w:r>
          </w:p>
        </w:tc>
      </w:tr>
      <w:tr>
        <w:trPr/>
        <w:tc>
          <w:tcPr>
            <w:tcW w:w="2283" w:type="dxa"/>
            <w:tcBorders/>
            <w:shd w:fill="FFFFFF" w:val="clear"/>
            <w:vAlign w:val="center"/>
          </w:tcPr>
          <w:p>
            <w:pPr>
              <w:pStyle w:val="TableContents"/>
              <w:bidi w:val="0"/>
              <w:spacing w:before="0" w:after="283"/>
              <w:jc w:val="left"/>
              <w:rPr/>
            </w:pPr>
            <w:r>
              <w:rPr/>
              <w:t>Acquired goodwill</w:t>
            </w:r>
          </w:p>
        </w:tc>
        <w:tc>
          <w:tcPr>
            <w:tcW w:w="9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right"/>
              <w:rPr/>
            </w:pPr>
            <w:r>
              <w:rPr/>
              <w:t>9,361,193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9,361,193</w:t>
            </w:r>
          </w:p>
        </w:tc>
        <w:tc>
          <w:tcPr>
            <w:tcW w:w="138" w:type="dxa"/>
            <w:tcBorders/>
            <w:shd w:fill="FFFFFF" w:val="clear"/>
            <w:vAlign w:val="center"/>
          </w:tcPr>
          <w:p>
            <w:pPr>
              <w:pStyle w:val="TableContents"/>
              <w:bidi w:val="0"/>
              <w:spacing w:before="0" w:after="283"/>
              <w:jc w:val="left"/>
              <w:rPr/>
            </w:pPr>
            <w:r>
              <w:rPr/>
              <w:t> </w:t>
            </w:r>
          </w:p>
        </w:tc>
      </w:tr>
      <w:tr>
        <w:trPr/>
        <w:tc>
          <w:tcPr>
            <w:tcW w:w="2283" w:type="dxa"/>
            <w:tcBorders/>
            <w:shd w:fill="CCEEFF" w:val="clear"/>
            <w:vAlign w:val="center"/>
          </w:tcPr>
          <w:p>
            <w:pPr>
              <w:pStyle w:val="TableContents"/>
              <w:bidi w:val="0"/>
              <w:spacing w:before="0" w:after="283"/>
              <w:jc w:val="left"/>
              <w:rPr/>
            </w:pPr>
            <w:r>
              <w:rPr/>
              <w:t>Impairments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2283" w:type="dxa"/>
            <w:tcBorders/>
            <w:shd w:fill="FFFFFF" w:val="clear"/>
            <w:vAlign w:val="center"/>
          </w:tcPr>
          <w:p>
            <w:pPr>
              <w:pStyle w:val="TableContents"/>
              <w:bidi w:val="0"/>
              <w:spacing w:before="0" w:after="283"/>
              <w:jc w:val="left"/>
              <w:rPr>
                <w:b/>
              </w:rPr>
            </w:pPr>
            <w:r>
              <w:rPr>
                <w:b/>
              </w:rPr>
              <w:t>Balance at March 31, 2026</w:t>
            </w:r>
          </w:p>
        </w:tc>
        <w:tc>
          <w:tcPr>
            <w:tcW w:w="90" w:type="dxa"/>
            <w:tcBorders/>
            <w:shd w:fill="FFFFFF" w:val="clear"/>
            <w:vAlign w:val="center"/>
          </w:tcPr>
          <w:p>
            <w:pPr>
              <w:pStyle w:val="TableContents"/>
              <w:bidi w:val="0"/>
              <w:spacing w:before="0" w:after="283"/>
              <w:jc w:val="left"/>
              <w:rPr/>
            </w:pPr>
            <w:r>
              <w:rPr/>
              <w:t> </w:t>
            </w:r>
          </w:p>
        </w:tc>
        <w:tc>
          <w:tcPr>
            <w:tcW w:w="23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3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12,082,714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70" w:type="dxa"/>
            <w:tcBorders>
              <w:bottom w:val="double" w:sz="10" w:space="0" w:color="000000"/>
            </w:tcBorders>
            <w:shd w:fill="FFFFFF" w:val="clear"/>
            <w:tcMar>
              <w:bottom w:w="28" w:type="dxa"/>
            </w:tcMar>
            <w:vAlign w:val="center"/>
          </w:tcPr>
          <w:p>
            <w:pPr>
              <w:pStyle w:val="TableContents"/>
              <w:bidi w:val="0"/>
              <w:spacing w:before="0" w:after="0"/>
              <w:jc w:val="right"/>
              <w:rPr>
                <w:b/>
              </w:rPr>
            </w:pPr>
            <w:r>
              <w:rPr>
                <w:b/>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5" w:type="dxa"/>
            <w:tcBorders>
              <w:bottom w:val="double" w:sz="10" w:space="0" w:color="000000"/>
            </w:tcBorders>
            <w:shd w:fill="FFFFFF" w:val="clear"/>
            <w:tcMar>
              <w:bottom w:w="28" w:type="dxa"/>
            </w:tcMar>
            <w:vAlign w:val="center"/>
          </w:tcPr>
          <w:p>
            <w:pPr>
              <w:pStyle w:val="TableContents"/>
              <w:bidi w:val="0"/>
              <w:spacing w:before="0" w:after="0"/>
              <w:jc w:val="right"/>
              <w:rPr>
                <w:b/>
              </w:rPr>
            </w:pPr>
            <w:r>
              <w:rPr>
                <w:b/>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268,873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12,351,587</w:t>
            </w:r>
          </w:p>
        </w:tc>
        <w:tc>
          <w:tcPr>
            <w:tcW w:w="13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performs its annual, or interim, goodwill impairment test by comparing the fair value of a reporting unit with its carrying amount. An entity should recognize a goodwill impairment charge for the amount by which the reporting unit’s carrying amount exceeds its fair value. If fair value exceeds the carrying amount, no impairment should be recorded. Any loss recognized should not exceed the total amount of goodwill allocated to that reporting unit.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may still perform the optional qualitative assessment for a reporting unit to determine if it is more likely than not that goodwill is impaired. However, ASU 2017-04 eliminates the requirement to perform a qualitative assessment for any reporting unit with zero or negative carrying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2025, management evaluated impairment of goodwill by performing qualitative assessment on its reporting units and determined that it is not more likely than not that the fair value of the reporting unit is less than its carrying amount, and therefore, no impairment loss on goodwill was recognized for the years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and 2024, management evaluated the recoverability of goodwill by comparing the fair value of a reporting unit with its carrying amount. The Company had engaged with a third-party appraiser in assessing the fair value of the console game, hardware, computer accessories, and other multi-media products reporting unit by applying income approach which considers the present value of the console game, hardware, computer accessories, and other multi-media products reporting unit’s future after-tax cash flows, discounting them to present value using 12.5% and 13.0% discount rate for the years ended March 31, 2026 and 2024, respectively. As a result, the fair value of the console game, hardware, computer accessories, and other multi-media products reporting unit exceeds its carrying value, and therefore, no impairment loss on goodwill was recognized for the year ended March 31, 2026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for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360-10, long-lived assets, including property and equipment with finite lives, are reviewed for impairment loss whenever events or changes in circumstances (such as a significant adverse change to market conditions that will impact the future use of the assets) indicate that the carrying value of an asset may not be recoverable. The Company assesses the recoverability of the assets based on the undiscounted future cash flows the assets are expected to generate and recognizes an impairment loss when estimated undiscounted future cash flows expected to result from the use of the asset plus net proceeds expected from disposition of the asset, if any, are less than the carrying value of the assets. If an impairment loss is identified, the Company will reduce the carrying amount of the asset to its estimated fair value based on a discounted cash flows approach, or, when available and appropriate, comparable market values. As of March 31, 2026 and 2025, no impairment of long-lived assets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Derivative asset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sale and purchase Agreement (“2Game SPA”) executed on March 19, 2025 between the Company and 2Game’s minority shareholders for the acquisition of an additional 10% controlling interest in 2Game, the Company recognized a derivative asset related to a contractual buy-back option and obligation (“Buy-Back Feature”) embedded in the agreement. Under the terms of the agreement, the Company has the sole discretion to exercise the buy-back option or may enforce a buy-back obligation requiring the minority shareholders of 2Game to repurchase the acquired shares at a specified premium if certain financial targets are not met within the twelve months ending March 31, 2026. In accordance with ASC 815-40, Derivatives and Hedging, the Company determined that the Buy-Back Feature met the definition of a derivative, and therefore need to be bifurcated and separately accounted for. As a result, the Buy-Back feature is recognized as a derivative asset, measured initially and subsequently at fair value, with changes in fair value recognized in the consolidated statements of operations and comprehensive income (loss) in each reporting period until the obligation is settled or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consideration for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set forth in Note 4, the Company recognized contingent consideration for acquisition upon completion of the business combination in accordance with ASC 805-10-55-28. The Company determined the fair value of the contingent consideration for acquisition as the Company has the obligation to pay cash or issuing shares to settle the contingent consideration upon 2Game’s achievement of certain performance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815-40 “Derivatives and Hedging”, the Company determined that the contingent consideration for acquisition should be classified as a liability as it is not considered indexed to the Company’s stock. As a result, the contingent consideration for acquisition shall be measured initially, and subsequently at fair value on each reporting date. The Company will continue to adjust the carrying value of the contingent consideration for acquisitions until contingency is finally determined. Any changes in fair value will be recorded as a gain or loss in the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for acquisition was valued at the time of acquisition and at March 31, 2025 and 2024, using unobservable inputs and discounted cash flow methodology. The determination of the fair value is based on discounted cash flows, and the key assumptions include the probability of meeting each performance target and the discount factor.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Convertible notes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notes in accordance with ASC 470, Debt, and ASC 815, Derivatives and Hedging. Convertible notes that contain embedded features—such as conversion rights, bonus shares, top-up shares, or other contingent settlement provisions—are evaluated to determine whether the features require bifurcation and separate accounting, on an instrument by instrument basis. For certain instruments, embedded features that are not clearly and closely related to the host instrument and do not qualify for equity classification, the Company has decided to apply the fair value option and measures the entire convertible note at fair value, with changes in fair value recognized as a gain or loss in the consolidated statements of operations and comprehensive income (loss) until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instruments, embedded features that are not clearly and closely related to the host instrument and do not qualify for equity classification are accounted for as derivative liabilities. These derivative liabilities are measured at fair value upon initial recognition and remeasured at each reporting date, with changes in fair value recognized in the consolidated statements of operations and comprehensive income (loss) loss until the instruments are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Upon further review of the warrant agreements, the Company concluded that its warrants qualify for equity accounting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all of RFAC’s public and private placement warrants that were then outstanding were replaced by the Company’s public and private placement warrants. The Company treated such warrants replacement as a warrant modification and recognized incremental fair value of $12,014 as a deemed dividend paid to the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revenue accounting requirements of Accounting Standards Update (“ASU”) No. 2014-09, Revenue from Contracts with Customers (Topic 606) (“Accounting Standards Codification (“ASC”) 606”). The core principle underlying the revenue recognition of this ASU allows the Company to recognize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transfers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that core principle, the Company applies five-step model to recognize revenue from customer contracts. The five-step model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contract with a customer when the contract is committed in writing, the rights of the parties, including payment terms, are identified, the contract has commercial substance and collectability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revenue stream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sales of console game, gaming hardware, computer accessories and other multimedia products including data storage devices.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distributing gaming content that are compatible with major gaming consoles such as Sony PlayStation, Microsoft Xbox, and personal computers (“PC”) to retailers. In addition, the Company sells gaming hardware and accessories, primarily consisting of computer peripherals, multimedia products such as data storage devices, and other gaming-related hardware.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revenue from sales of console game, gaming hardware, and accessories at a point in time when control of the product is passed to the retailers, generally after the retailers pick up the products or the Company delivers the products to the retailers’ appointed forwarding agent, which is the point in time that the retailers are able to direct the use of and obtain substantially all of the economic benefit of the goods. The transfer of control typically occurs at a point in time based on when the retailers have the obligation to pay for the goods, and physical possession of, legal title to, and the risks and rewards of ownership of the goods has been transferred, and the retailers have accepted the goods. Revenue is recognized net of estimates of variable consideration, including product returns, and customer discounts. Historically, the product return was immaterial.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customers have the right to return products, primarily computer accessories and other multimedia products, including data storage devices, within 180 days of sale. Customer remedies may include the exchange of returned products. As a result, the Company estimates and records right-of-return assets and related refund liabilities as a reduction of revenue, when necessary. The Company uses its accumulated historical experience to estimate expected product returns at a portfolio level using the expected value method. As of March 31, 2026, 2025 and 2024, the estimate expected product returns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shipping and handling activities are performed before the customer obtains control of the good. The Company elects to account for shipping and handling as activities to fulfill the promise to transfer the good, and accrue the related shipping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sales of console game, gaming hardware, and accessories consist of cost of purchase of console game compact discs, gaming hardware and accessories, and multimedia products from vendors.</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68"/>
        <w:gridCol w:w="275"/>
        <w:gridCol w:w="34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sales of console game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 from the sale of console game codes through the following settlement arrangement: (1) fixed price settlement with sales price being predetermined in the contract, and (2) variable price settlement with sales price being variable and to be settled based on retailer’s monthly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revenue from sales of console game code at a point in time when control of the goods is passed to retailers or end users, generally after the console game code was E-delivered to the retailers or end users, which is the point in time that the customers are able to direct the use of, and obtain substantially all of the economic benefit of, the goods. The transfer of control typically occurs at a point in time based on when the retailers or end users have an obligation to pay for the goods, and physical possession of, legal title to, and the risks and rewards of ownership of the goods has been transferred, and the retailers or end users has accepted the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settlement arrangement under the fixed price settlement, the transaction price is generally fixed and does not contain any variable considerations such as sales returns, discounts, or rebates, as the Company settles the sales with customers on a sales contract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settlement arrangement under the variable price settlement, the transaction price varies and is determined based on the retailer’s monthly sales. The pricing for individual game codes is calculated based on their wholesale price and the quantity sold. Additionally, a proportionate adjustment is made based on the total sales of each specific game code. As a result, the consideration received from retailer can fluctuate, making it a variable component of the overall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from sales of console game code under both settlement arrangements as mentioned above on a gross basis as the Company is acting as a principal in these transactions and is responsible for fulfilling the promise to provide specified goods, of which the Company has control and has the ability to direct the use to obtain substantially all the benefits of the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this determination, the Company assesses whether it is responsible to fulfill the performance obligation in these transactions, is subject to inventory risk, has latitude in establishing prices, or has met several but not all of these indicators in accordance with ASC 606-10-55-36 through 40. The Company determined that it is primarily responsible for fulfilling the promise to provide the specified good as the Company directly purchases the console game codes from the vendors prior to posting any sale to retailers or end users. Meanwhile, the Company maintained the console game codes electronically which demonstrates that Company has control over the goods and is subject to inventory risk. Furthermore, the Company has discretion in establishing the price of the goods, further demonstrating the Company’s ability to direct the use of the goods and obtain substantially all the benefits of the goods.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sales of console game code consist of cost of console game codes purchased from vendors.</w:t>
      </w:r>
    </w:p>
    <w:p>
      <w:pPr>
        <w:pStyle w:val="TextBody"/>
        <w:bidi w:val="0"/>
        <w:spacing w:before="0" w:after="0"/>
        <w:ind w:left="0" w:right="0" w:firstLine="36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68"/>
        <w:gridCol w:w="275"/>
        <w:gridCol w:w="264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game publishing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its revenue from game publishing by providing a non-exclusive license to reproduce, publicly display and perform, transmit, sell, license and otherwise distribute the PC games in object code form (“console game code”) to gaming platforms such as Sony’s PlayStation Network, Valve’s Steam, and Microsoft’s Xbox for distribution. In these sales arrangements, the gaming platforms are considered as the Company’s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game publishing at the point in time when control of the console game code is transferred to the gaming platform, which specifically occurs when the console game code is activated. Since the transaction price for publishing varies and is determined based on a predetermined rate applied to the gaming platform’s monthly sales, the Company recognizes revenue based on the consideration expected to be received from the gaming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from game publishing on a gross basis as the Company is acting as a principal who is primarily responsible for fulfilling the promise to publishing the game on the gaming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game publishing consist of game development cost from developers.</w:t>
      </w:r>
    </w:p>
    <w:p>
      <w:pPr>
        <w:pStyle w:val="TextBody"/>
        <w:bidi w:val="0"/>
        <w:spacing w:before="0" w:after="0"/>
        <w:ind w:left="0" w:right="0" w:firstLine="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68"/>
        <w:gridCol w:w="275"/>
        <w:gridCol w:w="299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Video marketing campaign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video marketing campaign services, which include video production, content alteration based on the customer’s specifications, and video publishing on designated influencers’ social media platforms. The Company identifies video marketing campaign services as a single performance obligation because the services in the contract cannot be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cannot simultaneously receive and consume the benefits provided by the Company throughout the performance obligation process, and the customer does not have control on the video content as it is produced. Therefore, none of the criteria of ASC 606-10-25-27 is met, and the Company recognizes revenue from video marketing campaign services at a point in time when the customer takes control of the video. The transfer of control typically occurs when customers are able to direct the use of and obtain substantially all of the economic benefits of the video, which happens when the video production is completed and accepted by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video marketing campaign service consist of video production related cost such as labor and production supplies.</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68"/>
        <w:gridCol w:w="275"/>
        <w:gridCol w:w="210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media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social media advertising by monetizing video content on social media platforms by allowing advertisement to be displayed within the Company’s video posting during the playback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social media advertising is recognized by the Company when it fulfills its performance obligation at a point in time, which occurs when the Company grants the right to use of the license of the video content to the social media platform, and when the social media platform can derive substantial economic benefit from monetizing the video content. The revenue generated is contingent on a profit- sharing arrangement with the social media platform and is assessed based on multiple factors. These factors include viewer engagement, viewer location, the type of advertisements, the number of advertisements engaged with, and more. The transaction price will be entitled to be received by the Company upon monthly settlement with the social media platform. Consequently, the Company has determined that revenue from social media advertising is recognized at a point in time when it is probable that a significant reversal of the revenue recognized will not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social media marketing service consist of video production related cost such as labor and production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practical expedient to expense costs as incurred for incremental costs to obtain a contract when the amortization period would have been one year or less. As of March 31, 2026, 2025 and 2024, the Company did not incur any incremental costs to obtain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 did not have any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advance payments from its customer prior to revenue recognition as contract liability until the revenue recognition performance obligations are met. As of March 31, 2026 and 2025, the contract liabilities amounted to $8,179,636 and $505,323, respectively. For the years ended March 31, 2026, 2025 and 2024, revenue recognized that was included in the beginning period contract liabilities balance amounted to $505,323, $209,903 and $363,726, respectively. As of March 31, 2026 and 2025, there were no contracts with performance obligations beyond twelve months for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information of revenues by products/services are as follows:</w:t>
      </w:r>
    </w:p>
    <w:p>
      <w:pPr>
        <w:pStyle w:val="TextBody"/>
        <w:bidi w:val="0"/>
        <w:spacing w:before="0" w:after="0"/>
        <w:ind w:left="0" w:right="0" w:firstLine="36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3680"/>
        <w:gridCol w:w="90"/>
        <w:gridCol w:w="170"/>
        <w:gridCol w:w="1250"/>
        <w:gridCol w:w="90"/>
        <w:gridCol w:w="90"/>
        <w:gridCol w:w="170"/>
        <w:gridCol w:w="1250"/>
        <w:gridCol w:w="90"/>
        <w:gridCol w:w="90"/>
        <w:gridCol w:w="170"/>
        <w:gridCol w:w="1130"/>
        <w:gridCol w:w="135"/>
      </w:tblGrid>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Console game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160,811,234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36,082,735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38,429,942</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Console game code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68,078,926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87,180,808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52,588,862</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Console game– subtotal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228,890,160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123,263,543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91,018,804</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Game publishing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7,146,373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16,029,523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3,431,680</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Video marketing campaign 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1,451,324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1,815,420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2,128,589</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Social media advertising services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61,738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422,944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587,500</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Media advertising services- subtotal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1,513,062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2,238,364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2,716,089</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Other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1,374,494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541,156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368,128</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238,924,089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142,072,586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97,534,701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limited warranties for its products sold. At the time a sale is recognized, the Company records estimated future warranty costs under ASC 460. Such estimated costs for warranties are estimated at time of delivery and these warranties are not service warranties separately sold by the Company. Generally, the estimated claim rates of warranty are based on actual warranty experience or the Company’s best estimate. As the historical claim rates of warranty were immaterial, the Company did not accrue warranty reserves as of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Advertisement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is mainly through online and offline promotion activities. Advertisement expenses amounted to $3,579,683, $2,155,033 and $1,547,129 for the years ended March 31,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Defined contribution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Full-time employees of the Company are entitled to government-mandated defined contribution plan. The Company is required to accrue and pay for these benefits based on certain percentages of the employees’ respective salaries, subject to certain ceilings, in accordance with the relevant government regulations, and make cash contributions to the government-mandated defined contribution plan. Total expenses for the plans were $1,094,630, $305,690 and $211,432 for the years ended March 31,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contribution plans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 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Central Provident Fund (“CPF”) — 17.00% based on employee’s monthly salary for employees aged 55 and below, reduces progressively to 7.5% as age increase;</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68"/>
        <w:gridCol w:w="290"/>
        <w:gridCol w:w="920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Skill Development Levy (“SDL”) — up to 0.25% based on employee’s monthly salary capped $8.3 (SGD 11.25).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Malaysian subsidiary</w:t>
      </w:r>
    </w:p>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68"/>
        <w:gridCol w:w="290"/>
        <w:gridCol w:w="897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Organization (“SOSCO”) — 1.75% based on employee’s monthly salary capped of RM 4,000;</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68"/>
        <w:gridCol w:w="290"/>
        <w:gridCol w:w="704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Provident Fund (“EPF”) — 12% based on employee’s monthly salary; and</w:t>
            </w:r>
          </w:p>
        </w:tc>
      </w:tr>
    </w:tbl>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68"/>
        <w:gridCol w:w="290"/>
        <w:gridCol w:w="869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Employment Insurance System (“EIS”) — 0.2% based on employee’s monthly salary capped of RM 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subsidiaries</w:t>
      </w:r>
    </w:p>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90"/>
        <w:gridCol w:w="855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Provident Fund (“MPF”) — 5% based on employee’s monthly salary capped of HKD 30,000;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Brazil subsidiary</w:t>
      </w:r>
    </w:p>
    <w:p>
      <w:pPr>
        <w:pStyle w:val="TextBody"/>
        <w:bidi w:val="0"/>
        <w:spacing w:before="0" w:after="0"/>
        <w:ind w:left="0" w:right="0" w:hanging="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68"/>
        <w:gridCol w:w="29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Severance Indemnity Fund (“FGTS”) — 8% based on employee’s monthly salary;</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68"/>
        <w:gridCol w:w="290"/>
        <w:gridCol w:w="915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Contribution (“INSS”) — up to 14% based on employee’s monthly salary capped of BRL 7,507;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 subsidiary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 Insurance Contribution (“NIC”) — up to 15% based on employee’s monthly salary, subject to statutory thresholds;</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90"/>
        <w:gridCol w:w="551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Workplace Pension — minimum 3% based on qualifying earnings;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 subsidiary</w:t>
      </w:r>
    </w:p>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68"/>
        <w:gridCol w:w="290"/>
        <w:gridCol w:w="867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Pension and Social Security Authority (“GPSSA”) — 12.5% based on employee’s monthly salary;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People of republic of China (“PRC”) subsidiary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Security and Housing Provident Fund Contributions — Employers are required to contribute to five statutory social insurance programs (pension, medical, unemployment, maternity, and work-related injury) and the housing provident fund. The total employer contribution rate typically ranges from approximately 30% to 40% of each employee’s monthly salary, subject to minimum and maximum contribution bases set by local authorities. The exact contribution rates and bases vary by city and province.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 subsidiary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Security and Statutory Employer Contributions — Under Thai law, employers are required to make statutory contributions on behalf of employees to the national Social Security Fund at a rate of 5% of each employee’s monthly salary, subject to a maximum contribution base of THB 15,000 per month. These contributions cover benefits such as sickness, maternity, disability, death, unemployment, and old-age pension. In addition, employers are required to contribute annually to the Workmen’s Compensation Fund at rates that vary based on industry risk classification.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 subsidiary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Security and Statutory Employer Contributions — Employers are required to make statutory contributions on behalf of employees to various social insurance programs, including employees’ pension insurance, health insurance (including nursing care insurance), employment insurance, and workers’ accident compensation insurance. Total employer contributions generally range from approximately 15% to 20% of each employee’s salary, subject to statutory contribution bases and caps determined by the Japanese authorities.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Taiwan subsidiary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Security and Statutory Employer Contributions — Employers in Taiwan are required to make statutory contributions on behalf of employees to various government-sponsored social insurance and retirement programs, including Labor Insurance, National Health Insurance, Employment Insurance, Occupational Accident Insurance, and the Labor Pension Plan under the Labor Pension Act. Employer contribution rates are prescribed by applicable laws and regulations and are generally based on employees’ insured salary or monthly wages, subject to statutory contribution bases and maximum contribution limits applicable to each program. For most employees, the aggregate employer contribution is approximately 20% of employees’ covered compensation, although the effective rate varies depending on employee compensation levels, applicable statutory salary caps, and industry-specific occupational accident insurance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Goods and Services Taxes (“GST”), Value Added Taxes (“VAT”), and Sales and Service Tax (“SST”)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represents the invoiced value of service, net of applicable GST or VAT. The GST is chargeable on gross sales price. In Singapore, GST rate is 9% for calendar year 2026. In the United Kingdom, VAT is 20%; in China, VAT is generally 13%, with reduced rates of 9% and 6% for specific industries; in Dubai, United Arab Emirates, VAT is 5%; and In Japan, consumption tax is 10%, with a reduced rate of 8% applicable to certain qualifying items. In Thailand, VAT is 7%. Entities that are GST/VAT-registered are allowed to offset qualified input GST/VAT paid to suppliers against their output GST/VAT liabilities. In Malaysia, the Sales and Service Tax (“SST”) generally consists of a 6% service tax on prescribed taxable services, while sales tax is generally imposed at rates of 5% or 10% on certain taxable goods. Net GST/VAT/SST balance between input GST/VAT and output GST/VAT is recorded in tax payable or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Income tax. The charge for taxation is based on the results for the fiscal year and adjusted for items, which are non-assessable or disallowed. It is calculated using tax rates that have been enacted or substantively enacted by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calculated using the balance sheet liability method in respect of temporary differences arising from differences between the carrying amount of assets and liabilities in the consolidated financial statements and the corresponding tax basis. In principle, deferred tax liabilities are recognized for all taxable temporary differences. Deferred tax assets are recognized to the extent that it is more likely than not that taxable income will be utilized with prior net operating loss carried forwards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utilized. Current income taxes are provided for in accordance with the laws of the relevant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No penalties and interest were incurred related to underpayment of income tax for the years ended March 31, 2026,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if any, on the other expense line in the accompanying consolidated statement of operation and comprehensive loss. Accrued interest and penalties are included on the other payables and accrued liabilities line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a significant portion of its business activities in Singapore, Malaysia, Hong Kong, Thailand and the People’s Republic of China (“PRC”) and is subject to taxation in these jurisdictions. As a result of these activities, the Company’s subsidiaries file separate tax returns that are subject to examination by the respective foreign tax authorities. As of March 31, 2026, the tax returns for the Company’s Singapore entities for the years 2023 through 2026 remain open for statutory examination by the Singapore tax authorities. Similarly, the tax returns for the Company’s Hong Kong entities for the years 2021 through 2026 remain open for examination by the Hong Kong tax authorities. The tax returns for the Company’s Malaysia entity for the years 2022 through 2026 also remain open for examination by the Malaysian tax authorities. In addition, the tax return for the Company’s PRC entity for the year 2025 remains open for statutory examination by the PRC tax authorities. The tax returns for the Company’s Thailand entity for the years 2022 through 2026 remain open for examination by the Thai tax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Debt discount and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discounts arise when the proceeds received from issuing debt, including convertible notes, are less than the principal amount due to embedded features, beneficial conversion features, or other allocated components. Debt issuance costs consist primarily of legal fees, professional fees, and other direct costs incurred in connection with the issuance of debt instruments. For debt instruments that are not measured at fair value under the fair value option, both the debt discount and debt issuance costs are recorded as direct reductions of the carrying amount of the related debt and are amortized to interest expense over the contractual term of the debt using the effective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certain embedded features are required to be bifurcated and accounted for separately as derivative liabilities or other components, the related debt discount and debt issuance costs are allocated between the debt host and the bifurcated components using an approach that is consistent with the allocation of proceeds between the freestanding financial instruments. The portion allocated to the debt host is amortized to interest expense over the term of the debt, while the portion allocated to bifurcated derivative components is expensed as incurred. If the Company has elected to account for the convertible notes at fair value under the fair value option, all related debt issuance costs are expensed immediately in the period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debt issuance costs in connection with the issuance of bank loan (See Note 14), and convertible notes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awards to non-employees in accordance with FASB ASC Topic 718 amended by ASU 2018-07. Under FASB ASC Topic 718, stock compensation granted to non-employees has been determined as the fair value of the consideration received or the fair value of equity instrument issued, whichever is more reliably measured and is recognized as an expense as the goods or services are received. For awards settled in ordinary shares, fair value is determined based on the quoted market price of the Company’s ordinary shares on the measurement date. Compensation cost is recognized on a straight-line basis over the requisite service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consists of two components, namely net income (loss) and other comprehensive income (loss). Other comprehensive income (loss) refers to revenue, expenses, gains and losses that under U.S. GAAP are recorded as an element of shareholders’ equity but are excluded from net income (loss). Other comprehensive income (loss) includes items such as results of foreign currency translation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or loss per share (“EPS”) in accordance with ASC 260, “Earnings per Share”. ASC 260 requires companies to present basic and diluted EPS. Basic EPS is measured as net income attributable to the Company divided by the weighted average ordinary share outstanding for the period. Diluted EPS presents the diluted effect on a per share basis of the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March 31, 2026, 2025 and 2024, the Company had the 16,500,000, 16,500,000 and nil shares of warrants, respectively, outstanding which were not included in the calculation of diluted net income (loss) per ordinary share because inclusion thereof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an asset, or paid to transfer a liability, in an orderly transaction between market participants at the measurement date. Valuation techniques maximize the use of observable inputs and minimize the use of unobservable inputs. When determining the fair value measurements for assets and liabilities, we consider the principal or most advantageous market in which it would transact and consider assumptions that market participants would use when pricing the asset or liability. The following summarizes the three levels of inputs required to measure fair value, of which the first two are considered observable and the third is considered unobservable: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certain assets and liabilities such as cash and restricted cash, accounts receivable, net, amount due from related parties, other receivables and other current assets, prepayments, banking facilities, accounts payable, contract liabilities, amount due to related parties, other payables and accrued liabilities, and tax payables have been determined to approximate carrying amounts due to the short maturities of these instruments. The Company believes that its long-term bank facilities approximate the fair value based on current yields for debt instruments with similar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by level within the fair value hierarchy our financial asset and liability that were accounted for at fair value on a recurring basis. As of March 31, 2026 and 2025 and February 11,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0"/>
        <w:gridCol w:w="90"/>
        <w:gridCol w:w="170"/>
        <w:gridCol w:w="1130"/>
        <w:gridCol w:w="90"/>
        <w:gridCol w:w="90"/>
        <w:gridCol w:w="170"/>
        <w:gridCol w:w="965"/>
        <w:gridCol w:w="90"/>
        <w:gridCol w:w="90"/>
        <w:gridCol w:w="170"/>
        <w:gridCol w:w="845"/>
        <w:gridCol w:w="90"/>
        <w:gridCol w:w="90"/>
        <w:gridCol w:w="170"/>
        <w:gridCol w:w="1130"/>
        <w:gridCol w:w="135"/>
      </w:tblGrid>
      <w:tr>
        <w:trPr/>
        <w:tc>
          <w:tcPr>
            <w:tcW w:w="4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Carrying</w:t>
              <w:br/>
              <w:t>Value at</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Fair Value Measurement at </w:t>
              <w:br/>
              <w:t>March 31, 2026</w:t>
            </w:r>
          </w:p>
        </w:tc>
        <w:tc>
          <w:tcPr>
            <w:tcW w:w="135" w:type="dxa"/>
            <w:tcBorders/>
            <w:vAlign w:val="center"/>
          </w:tcPr>
          <w:p>
            <w:pPr>
              <w:pStyle w:val="TableContents"/>
              <w:bidi w:val="0"/>
              <w:spacing w:before="0" w:after="283"/>
              <w:jc w:val="left"/>
              <w:rPr/>
            </w:pPr>
            <w:r>
              <w:rPr/>
              <w:t> </w:t>
            </w:r>
          </w:p>
        </w:tc>
      </w:tr>
      <w:tr>
        <w:trPr/>
        <w:tc>
          <w:tcPr>
            <w:tcW w:w="4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135" w:type="dxa"/>
            <w:tcBorders/>
            <w:vAlign w:val="center"/>
          </w:tcPr>
          <w:p>
            <w:pPr>
              <w:pStyle w:val="TableContents"/>
              <w:bidi w:val="0"/>
              <w:spacing w:before="0" w:after="283"/>
              <w:ind w:left="0" w:right="0" w:hanging="180"/>
              <w:jc w:val="left"/>
              <w:rPr/>
            </w:pPr>
            <w:r>
              <w:rPr/>
              <w:t> </w:t>
            </w:r>
          </w:p>
        </w:tc>
      </w:tr>
      <w:tr>
        <w:trPr/>
        <w:tc>
          <w:tcPr>
            <w:tcW w:w="4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asset attributable to Buy-Back Feature embedded in 2Game SPA (Note 19)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326,766</w:t>
            </w:r>
          </w:p>
        </w:tc>
        <w:tc>
          <w:tcPr>
            <w:tcW w:w="135" w:type="dxa"/>
            <w:tcBorders/>
            <w:shd w:fill="CCEEFF" w:val="clear"/>
            <w:vAlign w:val="center"/>
          </w:tcPr>
          <w:p>
            <w:pPr>
              <w:pStyle w:val="TableContents"/>
              <w:bidi w:val="0"/>
              <w:spacing w:before="0" w:after="283"/>
              <w:jc w:val="left"/>
              <w:rPr/>
            </w:pPr>
            <w:r>
              <w:rPr/>
              <w:t> </w:t>
            </w:r>
          </w:p>
        </w:tc>
      </w:tr>
      <w:tr>
        <w:trPr/>
        <w:tc>
          <w:tcPr>
            <w:tcW w:w="4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 (Top-Up Shares) (Note 16)</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16,206,000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16,206,000</w:t>
            </w:r>
          </w:p>
        </w:tc>
        <w:tc>
          <w:tcPr>
            <w:tcW w:w="135" w:type="dxa"/>
            <w:tcBorders/>
            <w:shd w:fill="FFFFFF" w:val="clear"/>
            <w:vAlign w:val="center"/>
          </w:tcPr>
          <w:p>
            <w:pPr>
              <w:pStyle w:val="TableContents"/>
              <w:bidi w:val="0"/>
              <w:spacing w:before="0" w:after="283"/>
              <w:jc w:val="left"/>
              <w:rPr/>
            </w:pPr>
            <w:r>
              <w:rPr/>
              <w:t> </w:t>
            </w:r>
          </w:p>
        </w:tc>
      </w:tr>
      <w:tr>
        <w:trPr/>
        <w:tc>
          <w:tcPr>
            <w:tcW w:w="4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 (conversion feature) (Note 16)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19" w:type="dxa"/>
        <w:jc w:val="left"/>
        <w:tblInd w:w="0" w:type="dxa"/>
        <w:tblLayout w:type="fixed"/>
        <w:tblCellMar>
          <w:top w:w="0" w:type="dxa"/>
          <w:left w:w="0" w:type="dxa"/>
          <w:bottom w:w="0" w:type="dxa"/>
          <w:right w:w="0" w:type="dxa"/>
        </w:tblCellMar>
      </w:tblPr>
      <w:tblGrid>
        <w:gridCol w:w="3860"/>
        <w:gridCol w:w="90"/>
        <w:gridCol w:w="198"/>
        <w:gridCol w:w="1186"/>
        <w:gridCol w:w="90"/>
        <w:gridCol w:w="90"/>
        <w:gridCol w:w="170"/>
        <w:gridCol w:w="665"/>
        <w:gridCol w:w="90"/>
        <w:gridCol w:w="90"/>
        <w:gridCol w:w="170"/>
        <w:gridCol w:w="725"/>
        <w:gridCol w:w="90"/>
        <w:gridCol w:w="90"/>
        <w:gridCol w:w="170"/>
        <w:gridCol w:w="1010"/>
        <w:gridCol w:w="135"/>
      </w:tblGrid>
      <w:tr>
        <w:trPr/>
        <w:tc>
          <w:tcPr>
            <w:tcW w:w="3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Carrying</w:t>
              <w:br/>
              <w:t>Value at</w:t>
              <w:br/>
              <w:t>February 11,</w:t>
              <w:br/>
              <w:t>2026</w:t>
              <w:br/>
              <w:t>(Conversion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Measurement at </w:t>
              <w:br/>
              <w:t>March 31, 2026</w:t>
            </w:r>
          </w:p>
        </w:tc>
        <w:tc>
          <w:tcPr>
            <w:tcW w:w="13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Investment in convertible notes (Note 6)</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1,406,625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1,406,625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30"/>
        <w:gridCol w:w="90"/>
        <w:gridCol w:w="170"/>
        <w:gridCol w:w="1010"/>
        <w:gridCol w:w="90"/>
        <w:gridCol w:w="90"/>
        <w:gridCol w:w="170"/>
        <w:gridCol w:w="785"/>
        <w:gridCol w:w="90"/>
        <w:gridCol w:w="90"/>
        <w:gridCol w:w="170"/>
        <w:gridCol w:w="725"/>
        <w:gridCol w:w="90"/>
        <w:gridCol w:w="90"/>
        <w:gridCol w:w="170"/>
        <w:gridCol w:w="1010"/>
        <w:gridCol w:w="135"/>
      </w:tblGrid>
      <w:tr>
        <w:trPr/>
        <w:tc>
          <w:tcPr>
            <w:tcW w:w="5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Carrying</w:t>
              <w:br/>
              <w:t>Value at</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Measurement at </w:t>
              <w:br/>
              <w:t>March 31, 2025</w:t>
            </w:r>
          </w:p>
        </w:tc>
        <w:tc>
          <w:tcPr>
            <w:tcW w:w="135" w:type="dxa"/>
            <w:tcBorders/>
            <w:vAlign w:val="center"/>
          </w:tcPr>
          <w:p>
            <w:pPr>
              <w:pStyle w:val="TableContents"/>
              <w:bidi w:val="0"/>
              <w:spacing w:before="0" w:after="283"/>
              <w:jc w:val="left"/>
              <w:rPr/>
            </w:pPr>
            <w:r>
              <w:rPr/>
              <w:t> </w:t>
            </w:r>
          </w:p>
        </w:tc>
      </w:tr>
      <w:tr>
        <w:trPr/>
        <w:tc>
          <w:tcPr>
            <w:tcW w:w="5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ind w:left="0" w:right="0" w:hanging="180"/>
              <w:jc w:val="left"/>
              <w:rPr/>
            </w:pPr>
            <w:r>
              <w:rPr/>
              <w:t> </w:t>
            </w:r>
          </w:p>
        </w:tc>
      </w:tr>
      <w:tr>
        <w:trPr/>
        <w:tc>
          <w:tcPr>
            <w:tcW w:w="5230" w:type="dxa"/>
            <w:tcBorders/>
            <w:shd w:fill="CCEEFF" w:val="clear"/>
            <w:vAlign w:val="center"/>
          </w:tcPr>
          <w:p>
            <w:pPr>
              <w:pStyle w:val="TableContents"/>
              <w:bidi w:val="0"/>
              <w:spacing w:before="0" w:after="283"/>
              <w:jc w:val="left"/>
              <w:rPr/>
            </w:pPr>
            <w:r>
              <w:rPr/>
              <w:t>Derivative asset attributable to Buy-Back Feature embedded in 2Game SPA (Note 19)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269,119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269,119</w:t>
            </w:r>
          </w:p>
        </w:tc>
        <w:tc>
          <w:tcPr>
            <w:tcW w:w="135" w:type="dxa"/>
            <w:tcBorders/>
            <w:shd w:fill="CCEEFF" w:val="clear"/>
            <w:vAlign w:val="center"/>
          </w:tcPr>
          <w:p>
            <w:pPr>
              <w:pStyle w:val="TableContents"/>
              <w:bidi w:val="0"/>
              <w:spacing w:before="0" w:after="283"/>
              <w:jc w:val="left"/>
              <w:rPr/>
            </w:pPr>
            <w:r>
              <w:rPr/>
              <w:t> </w:t>
            </w:r>
          </w:p>
        </w:tc>
      </w:tr>
      <w:tr>
        <w:trPr/>
        <w:tc>
          <w:tcPr>
            <w:tcW w:w="5230" w:type="dxa"/>
            <w:tcBorders/>
            <w:shd w:fill="FFFFFF" w:val="clear"/>
            <w:vAlign w:val="center"/>
          </w:tcPr>
          <w:p>
            <w:pPr>
              <w:pStyle w:val="TableContents"/>
              <w:bidi w:val="0"/>
              <w:spacing w:before="0" w:after="283"/>
              <w:jc w:val="left"/>
              <w:rPr/>
            </w:pPr>
            <w:r>
              <w:rPr/>
              <w:t>Contingent consideration for acquisition of 2Game (Note 4)</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1,121,006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1,121,006</w:t>
            </w:r>
          </w:p>
        </w:tc>
        <w:tc>
          <w:tcPr>
            <w:tcW w:w="135" w:type="dxa"/>
            <w:tcBorders/>
            <w:shd w:fill="FFFFFF" w:val="clear"/>
            <w:vAlign w:val="center"/>
          </w:tcPr>
          <w:p>
            <w:pPr>
              <w:pStyle w:val="TableContents"/>
              <w:bidi w:val="0"/>
              <w:spacing w:before="0" w:after="283"/>
              <w:jc w:val="left"/>
              <w:rPr/>
            </w:pPr>
            <w:r>
              <w:rPr/>
              <w:t> </w:t>
            </w:r>
          </w:p>
        </w:tc>
      </w:tr>
      <w:tr>
        <w:trPr/>
        <w:tc>
          <w:tcPr>
            <w:tcW w:w="5230" w:type="dxa"/>
            <w:tcBorders/>
            <w:shd w:fill="CCEEFF" w:val="clear"/>
            <w:vAlign w:val="center"/>
          </w:tcPr>
          <w:p>
            <w:pPr>
              <w:pStyle w:val="TableContents"/>
              <w:bidi w:val="0"/>
              <w:spacing w:before="0" w:after="283"/>
              <w:jc w:val="left"/>
              <w:rPr/>
            </w:pPr>
            <w:r>
              <w:rPr/>
              <w:t>Derivative liabilities (Top-Up Shares) (Note 16)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3,086,519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3,086,519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beginning and ending balance of the financial assets and liability measured at fair value on a recurring basis for the years ended March 31, 2026, 2025 and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80"/>
        <w:gridCol w:w="90"/>
        <w:gridCol w:w="187"/>
        <w:gridCol w:w="913"/>
        <w:gridCol w:w="135"/>
      </w:tblGrid>
      <w:tr>
        <w:trPr/>
        <w:tc>
          <w:tcPr>
            <w:tcW w:w="88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Asset</w:t>
            </w:r>
          </w:p>
        </w:tc>
        <w:tc>
          <w:tcPr>
            <w:tcW w:w="135" w:type="dxa"/>
            <w:tcBorders/>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Initial fair value of derivative assets attributable to Buy-Back Feature embedded in 2Game SPA</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269,119</w:t>
            </w:r>
          </w:p>
        </w:tc>
        <w:tc>
          <w:tcPr>
            <w:tcW w:w="135"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Change in fair value of derivative asset</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Ending balance as of March 31, 2025</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269,119</w:t>
            </w:r>
          </w:p>
        </w:tc>
        <w:tc>
          <w:tcPr>
            <w:tcW w:w="135"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Change in fair value of derivative asset</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46,388</w:t>
            </w:r>
          </w:p>
        </w:tc>
        <w:tc>
          <w:tcPr>
            <w:tcW w:w="135" w:type="dxa"/>
            <w:tcBorders/>
            <w:shd w:fill="FFFFFF" w:val="clear"/>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Exchange rate difference</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11,259</w:t>
            </w:r>
          </w:p>
        </w:tc>
        <w:tc>
          <w:tcPr>
            <w:tcW w:w="135"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Ending balance as of March 31, 2026</w:t>
            </w:r>
          </w:p>
        </w:tc>
        <w:tc>
          <w:tcPr>
            <w:tcW w:w="9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pPr>
            <w:r>
              <w:rPr/>
              <w:t>326,766</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884" w:type="dxa"/>
        <w:jc w:val="left"/>
        <w:tblInd w:w="0" w:type="dxa"/>
        <w:tblLayout w:type="fixed"/>
        <w:tblCellMar>
          <w:top w:w="0" w:type="dxa"/>
          <w:left w:w="0" w:type="dxa"/>
          <w:bottom w:w="0" w:type="dxa"/>
          <w:right w:w="0" w:type="dxa"/>
        </w:tblCellMar>
      </w:tblPr>
      <w:tblGrid>
        <w:gridCol w:w="5135"/>
        <w:gridCol w:w="90"/>
        <w:gridCol w:w="201"/>
        <w:gridCol w:w="1288"/>
        <w:gridCol w:w="170"/>
      </w:tblGrid>
      <w:tr>
        <w:trPr/>
        <w:tc>
          <w:tcPr>
            <w:tcW w:w="51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Investment</w:t>
              <w:br/>
              <w:t xml:space="preserve">in convertible </w:t>
              <w:br/>
              <w:t>notes</w:t>
            </w:r>
          </w:p>
        </w:tc>
        <w:tc>
          <w:tcPr>
            <w:tcW w:w="17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Acquired upon acquisition of Ban Leong</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2,597,253</w:t>
            </w:r>
          </w:p>
        </w:tc>
        <w:tc>
          <w:tcPr>
            <w:tcW w:w="17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Change in fair value of investment in convertible note</w:t>
            </w:r>
          </w:p>
        </w:tc>
        <w:tc>
          <w:tcPr>
            <w:tcW w:w="9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(1,188,928</w:t>
            </w:r>
          </w:p>
        </w:tc>
        <w:tc>
          <w:tcPr>
            <w:tcW w:w="170" w:type="dxa"/>
            <w:tcBorders/>
            <w:shd w:fill="FFFFFF" w:val="clear"/>
            <w:vAlign w:val="center"/>
          </w:tcPr>
          <w:p>
            <w:pPr>
              <w:pStyle w:val="TableContents"/>
              <w:bidi w:val="0"/>
              <w:spacing w:before="0" w:after="283"/>
              <w:jc w:val="left"/>
              <w:rPr/>
            </w:pPr>
            <w:r>
              <w:rPr/>
              <w:t>)</w:t>
            </w:r>
          </w:p>
        </w:tc>
      </w:tr>
      <w:tr>
        <w:trPr/>
        <w:tc>
          <w:tcPr>
            <w:tcW w:w="5135" w:type="dxa"/>
            <w:tcBorders/>
            <w:shd w:fill="CCEEFF" w:val="clear"/>
            <w:vAlign w:val="center"/>
          </w:tcPr>
          <w:p>
            <w:pPr>
              <w:pStyle w:val="TableContents"/>
              <w:bidi w:val="0"/>
              <w:spacing w:before="0" w:after="283"/>
              <w:jc w:val="left"/>
              <w:rPr/>
            </w:pPr>
            <w:r>
              <w:rPr/>
              <w:t>Exchange rate difference</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(1,700</w:t>
            </w:r>
          </w:p>
        </w:tc>
        <w:tc>
          <w:tcPr>
            <w:tcW w:w="170" w:type="dxa"/>
            <w:tcBorders/>
            <w:shd w:fill="CCEEFF" w:val="clear"/>
            <w:vAlign w:val="center"/>
          </w:tcPr>
          <w:p>
            <w:pPr>
              <w:pStyle w:val="TableContents"/>
              <w:bidi w:val="0"/>
              <w:spacing w:before="0" w:after="283"/>
              <w:jc w:val="left"/>
              <w:rPr/>
            </w:pPr>
            <w:r>
              <w:rPr/>
              <w:t>)</w:t>
            </w:r>
          </w:p>
        </w:tc>
      </w:tr>
      <w:tr>
        <w:trPr/>
        <w:tc>
          <w:tcPr>
            <w:tcW w:w="5135" w:type="dxa"/>
            <w:tcBorders/>
            <w:shd w:fill="FFFFFF" w:val="clear"/>
            <w:vAlign w:val="center"/>
          </w:tcPr>
          <w:p>
            <w:pPr>
              <w:pStyle w:val="TableContents"/>
              <w:bidi w:val="0"/>
              <w:spacing w:before="0" w:after="283"/>
              <w:jc w:val="left"/>
              <w:rPr/>
            </w:pPr>
            <w:r>
              <w:rPr/>
              <w:t>Conversion to long-term investment</w:t>
            </w:r>
          </w:p>
        </w:tc>
        <w:tc>
          <w:tcPr>
            <w:tcW w:w="9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FFFFFF" w:val="clear"/>
            <w:tcMar>
              <w:bottom w:w="28" w:type="dxa"/>
            </w:tcMar>
            <w:vAlign w:val="center"/>
          </w:tcPr>
          <w:p>
            <w:pPr>
              <w:pStyle w:val="TableContents"/>
              <w:bidi w:val="0"/>
              <w:spacing w:before="0" w:after="283"/>
              <w:jc w:val="right"/>
              <w:rPr/>
            </w:pPr>
            <w:r>
              <w:rPr/>
              <w:t>(1,406,625</w:t>
            </w:r>
          </w:p>
        </w:tc>
        <w:tc>
          <w:tcPr>
            <w:tcW w:w="170" w:type="dxa"/>
            <w:tcBorders/>
            <w:shd w:fill="FFFFFF" w:val="clear"/>
            <w:vAlign w:val="center"/>
          </w:tcPr>
          <w:p>
            <w:pPr>
              <w:pStyle w:val="TableContents"/>
              <w:bidi w:val="0"/>
              <w:spacing w:before="0" w:after="283"/>
              <w:jc w:val="left"/>
              <w:rPr/>
            </w:pPr>
            <w:r>
              <w:rPr/>
              <w:t>)</w:t>
            </w:r>
          </w:p>
        </w:tc>
      </w:tr>
      <w:tr>
        <w:trPr/>
        <w:tc>
          <w:tcPr>
            <w:tcW w:w="5135" w:type="dxa"/>
            <w:tcBorders/>
            <w:shd w:fill="CCEEFF" w:val="clear"/>
            <w:vAlign w:val="center"/>
          </w:tcPr>
          <w:p>
            <w:pPr>
              <w:pStyle w:val="TableContents"/>
              <w:bidi w:val="0"/>
              <w:spacing w:before="0" w:after="283"/>
              <w:jc w:val="left"/>
              <w:rPr/>
            </w:pPr>
            <w:r>
              <w:rPr/>
              <w:t>Ending balance as of March 31, 2026</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54" w:type="dxa"/>
        <w:jc w:val="left"/>
        <w:tblInd w:w="0" w:type="dxa"/>
        <w:tblLayout w:type="fixed"/>
        <w:tblCellMar>
          <w:top w:w="0" w:type="dxa"/>
          <w:left w:w="0" w:type="dxa"/>
          <w:bottom w:w="0" w:type="dxa"/>
          <w:right w:w="0" w:type="dxa"/>
        </w:tblCellMar>
      </w:tblPr>
      <w:tblGrid>
        <w:gridCol w:w="6020"/>
        <w:gridCol w:w="90"/>
        <w:gridCol w:w="239"/>
        <w:gridCol w:w="1535"/>
        <w:gridCol w:w="170"/>
      </w:tblGrid>
      <w:tr>
        <w:trPr/>
        <w:tc>
          <w:tcPr>
            <w:tcW w:w="60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Contingent</w:t>
              <w:br/>
              <w:t>consideration for</w:t>
              <w:br/>
              <w:t>acquisition</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Ending balance as of March 31, 2024</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3,697,000</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Payments of cash and share consideration</w:t>
            </w:r>
          </w:p>
        </w:tc>
        <w:tc>
          <w:tcPr>
            <w:tcW w:w="9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(3,068,835</w:t>
            </w:r>
          </w:p>
        </w:tc>
        <w:tc>
          <w:tcPr>
            <w:tcW w:w="17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Change in fair value of contingent consideration for acquisition</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545,428</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Exchange rate difference</w:t>
            </w:r>
          </w:p>
        </w:tc>
        <w:tc>
          <w:tcPr>
            <w:tcW w:w="9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(52,587</w:t>
            </w:r>
          </w:p>
        </w:tc>
        <w:tc>
          <w:tcPr>
            <w:tcW w:w="17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Ending balance as of March 31, 2025</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1,121,006</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(73,352</w:t>
            </w:r>
          </w:p>
        </w:tc>
        <w:tc>
          <w:tcPr>
            <w:tcW w:w="17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Exchange rate difference</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74,072</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Payments of share consideration</w:t>
            </w:r>
          </w:p>
        </w:tc>
        <w:tc>
          <w:tcPr>
            <w:tcW w:w="9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(1,121,726</w:t>
            </w:r>
          </w:p>
        </w:tc>
        <w:tc>
          <w:tcPr>
            <w:tcW w:w="17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Ending balance as of March 31, 2026</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7805"/>
        <w:gridCol w:w="90"/>
        <w:gridCol w:w="170"/>
        <w:gridCol w:w="1205"/>
        <w:gridCol w:w="170"/>
      </w:tblGrid>
      <w:tr>
        <w:trPr/>
        <w:tc>
          <w:tcPr>
            <w:tcW w:w="7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w:t>
              <w:br/>
              <w:t>notes</w:t>
            </w:r>
          </w:p>
        </w:tc>
        <w:tc>
          <w:tcPr>
            <w:tcW w:w="170" w:type="dxa"/>
            <w:tcBorders/>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pPr>
            <w:r>
              <w:rPr/>
              <w:t>Initial fair value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33,025,000</w:t>
            </w:r>
          </w:p>
        </w:tc>
        <w:tc>
          <w:tcPr>
            <w:tcW w:w="170"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pPr>
            <w:r>
              <w:rPr/>
              <w:t>Conversion of the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(25,063,061</w:t>
            </w:r>
          </w:p>
        </w:tc>
        <w:tc>
          <w:tcPr>
            <w:tcW w:w="170" w:type="dxa"/>
            <w:tcBorders/>
            <w:shd w:fill="FFFFFF" w:val="clear"/>
            <w:vAlign w:val="center"/>
          </w:tcPr>
          <w:p>
            <w:pPr>
              <w:pStyle w:val="TableContents"/>
              <w:bidi w:val="0"/>
              <w:spacing w:before="0" w:after="283"/>
              <w:jc w:val="left"/>
              <w:rPr/>
            </w:pPr>
            <w:r>
              <w:rPr/>
              <w:t>)</w:t>
            </w:r>
          </w:p>
        </w:tc>
      </w:tr>
      <w:tr>
        <w:trPr/>
        <w:tc>
          <w:tcPr>
            <w:tcW w:w="7805" w:type="dxa"/>
            <w:tcBorders/>
            <w:shd w:fill="CCEEFF" w:val="clear"/>
            <w:vAlign w:val="center"/>
          </w:tcPr>
          <w:p>
            <w:pPr>
              <w:pStyle w:val="TableContents"/>
              <w:bidi w:val="0"/>
              <w:spacing w:before="0" w:after="283"/>
              <w:jc w:val="left"/>
              <w:rPr/>
            </w:pPr>
            <w:r>
              <w:rPr/>
              <w:t>Change in fair value of convertible notes upon conversion of the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(5,254,103</w:t>
            </w:r>
          </w:p>
        </w:tc>
        <w:tc>
          <w:tcPr>
            <w:tcW w:w="170" w:type="dxa"/>
            <w:tcBorders/>
            <w:shd w:fill="CCEEFF" w:val="clear"/>
            <w:vAlign w:val="center"/>
          </w:tcPr>
          <w:p>
            <w:pPr>
              <w:pStyle w:val="TableContents"/>
              <w:bidi w:val="0"/>
              <w:spacing w:before="0" w:after="283"/>
              <w:jc w:val="left"/>
              <w:rPr/>
            </w:pPr>
            <w:r>
              <w:rPr/>
              <w:t>)</w:t>
            </w:r>
          </w:p>
        </w:tc>
      </w:tr>
      <w:tr>
        <w:trPr/>
        <w:tc>
          <w:tcPr>
            <w:tcW w:w="7805" w:type="dxa"/>
            <w:tcBorders/>
            <w:shd w:fill="FFFFFF" w:val="clear"/>
            <w:vAlign w:val="center"/>
          </w:tcPr>
          <w:p>
            <w:pPr>
              <w:pStyle w:val="TableContents"/>
              <w:bidi w:val="0"/>
              <w:spacing w:before="0" w:after="283"/>
              <w:jc w:val="left"/>
              <w:rPr/>
            </w:pPr>
            <w:r>
              <w:rPr/>
              <w:t>Fair value allocated to Top-Up Shares upon conversion of the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(2,707,836</w:t>
            </w:r>
          </w:p>
        </w:tc>
        <w:tc>
          <w:tcPr>
            <w:tcW w:w="170" w:type="dxa"/>
            <w:tcBorders/>
            <w:shd w:fill="FFFFFF" w:val="clear"/>
            <w:vAlign w:val="center"/>
          </w:tcPr>
          <w:p>
            <w:pPr>
              <w:pStyle w:val="TableContents"/>
              <w:bidi w:val="0"/>
              <w:spacing w:before="0" w:after="283"/>
              <w:jc w:val="left"/>
              <w:rPr/>
            </w:pPr>
            <w:r>
              <w:rPr/>
              <w:t>)</w:t>
            </w:r>
          </w:p>
        </w:tc>
      </w:tr>
      <w:tr>
        <w:trPr/>
        <w:tc>
          <w:tcPr>
            <w:tcW w:w="7805" w:type="dxa"/>
            <w:tcBorders/>
            <w:shd w:fill="CCEEFF" w:val="clear"/>
            <w:vAlign w:val="center"/>
          </w:tcPr>
          <w:p>
            <w:pPr>
              <w:pStyle w:val="TableContents"/>
              <w:bidi w:val="0"/>
              <w:spacing w:before="0" w:after="283"/>
              <w:jc w:val="left"/>
              <w:rPr/>
            </w:pPr>
            <w:r>
              <w:rPr/>
              <w:t>Ending balance as of March 31, 2025 and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49" w:type="dxa"/>
        <w:jc w:val="left"/>
        <w:tblInd w:w="0" w:type="dxa"/>
        <w:tblLayout w:type="fixed"/>
        <w:tblCellMar>
          <w:top w:w="0" w:type="dxa"/>
          <w:left w:w="0" w:type="dxa"/>
          <w:bottom w:w="0" w:type="dxa"/>
          <w:right w:w="0" w:type="dxa"/>
        </w:tblCellMar>
      </w:tblPr>
      <w:tblGrid>
        <w:gridCol w:w="7565"/>
        <w:gridCol w:w="90"/>
        <w:gridCol w:w="230"/>
        <w:gridCol w:w="1529"/>
        <w:gridCol w:w="135"/>
      </w:tblGrid>
      <w:tr>
        <w:trPr/>
        <w:tc>
          <w:tcPr>
            <w:tcW w:w="75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liabilities</w:t>
              <w:br/>
              <w:t>(Top-Up Shares)</w:t>
            </w:r>
          </w:p>
        </w:tc>
        <w:tc>
          <w:tcPr>
            <w:tcW w:w="135"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Fair value allocated to Top-Up Shares upon conversion of the convertible notes</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2,707,836</w:t>
            </w:r>
          </w:p>
        </w:tc>
        <w:tc>
          <w:tcPr>
            <w:tcW w:w="13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Change in fair value of derivative liability</w:t>
            </w:r>
          </w:p>
        </w:tc>
        <w:tc>
          <w:tcPr>
            <w:tcW w:w="9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12" w:space="0" w:color="000000"/>
            </w:tcBorders>
            <w:shd w:fill="FFFFFF" w:val="clear"/>
            <w:tcMar>
              <w:bottom w:w="28" w:type="dxa"/>
            </w:tcMar>
            <w:vAlign w:val="center"/>
          </w:tcPr>
          <w:p>
            <w:pPr>
              <w:pStyle w:val="TableContents"/>
              <w:bidi w:val="0"/>
              <w:spacing w:before="0" w:after="283"/>
              <w:jc w:val="right"/>
              <w:rPr/>
            </w:pPr>
            <w:r>
              <w:rPr/>
              <w:t>378,683</w:t>
            </w:r>
          </w:p>
        </w:tc>
        <w:tc>
          <w:tcPr>
            <w:tcW w:w="13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Ending balance as of March 31, 2025</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529" w:type="dxa"/>
            <w:tcBorders/>
            <w:shd w:fill="CCEEFF" w:val="clear"/>
            <w:vAlign w:val="center"/>
          </w:tcPr>
          <w:p>
            <w:pPr>
              <w:pStyle w:val="TableContents"/>
              <w:bidi w:val="0"/>
              <w:spacing w:before="0" w:after="283"/>
              <w:jc w:val="right"/>
              <w:rPr/>
            </w:pPr>
            <w:r>
              <w:rPr/>
              <w:t>3,086,519</w:t>
            </w:r>
          </w:p>
        </w:tc>
        <w:tc>
          <w:tcPr>
            <w:tcW w:w="135"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pPr>
            <w:r>
              <w:rPr/>
              <w:t>Change in fair value of derivative liability</w:t>
            </w:r>
          </w:p>
        </w:tc>
        <w:tc>
          <w:tcPr>
            <w:tcW w:w="9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12" w:space="0" w:color="000000"/>
            </w:tcBorders>
            <w:shd w:fill="FFFFFF" w:val="clear"/>
            <w:tcMar>
              <w:bottom w:w="28" w:type="dxa"/>
            </w:tcMar>
            <w:vAlign w:val="center"/>
          </w:tcPr>
          <w:p>
            <w:pPr>
              <w:pStyle w:val="TableContents"/>
              <w:bidi w:val="0"/>
              <w:spacing w:before="0" w:after="283"/>
              <w:jc w:val="right"/>
              <w:rPr/>
            </w:pPr>
            <w:r>
              <w:rPr/>
              <w:t>13,119,481</w:t>
            </w:r>
          </w:p>
        </w:tc>
        <w:tc>
          <w:tcPr>
            <w:tcW w:w="135"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Ending balance as of March 31, 2026</w:t>
            </w:r>
          </w:p>
        </w:tc>
        <w:tc>
          <w:tcPr>
            <w:tcW w:w="9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9" w:type="dxa"/>
            <w:tcBorders>
              <w:bottom w:val="double" w:sz="10" w:space="0" w:color="000000"/>
            </w:tcBorders>
            <w:shd w:fill="CCEEFF" w:val="clear"/>
            <w:tcMar>
              <w:bottom w:w="28" w:type="dxa"/>
            </w:tcMar>
            <w:vAlign w:val="center"/>
          </w:tcPr>
          <w:p>
            <w:pPr>
              <w:pStyle w:val="TableContents"/>
              <w:bidi w:val="0"/>
              <w:spacing w:before="0" w:after="283"/>
              <w:jc w:val="right"/>
              <w:rPr/>
            </w:pPr>
            <w:r>
              <w:rPr/>
              <w:t>16,206,000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964" w:type="dxa"/>
        <w:jc w:val="left"/>
        <w:tblInd w:w="0" w:type="dxa"/>
        <w:tblLayout w:type="fixed"/>
        <w:tblCellMar>
          <w:top w:w="0" w:type="dxa"/>
          <w:left w:w="0" w:type="dxa"/>
          <w:bottom w:w="0" w:type="dxa"/>
          <w:right w:w="0" w:type="dxa"/>
        </w:tblCellMar>
      </w:tblPr>
      <w:tblGrid>
        <w:gridCol w:w="5555"/>
        <w:gridCol w:w="90"/>
        <w:gridCol w:w="290"/>
        <w:gridCol w:w="1859"/>
        <w:gridCol w:w="170"/>
      </w:tblGrid>
      <w:tr>
        <w:trPr/>
        <w:tc>
          <w:tcPr>
            <w:tcW w:w="5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liabilities</w:t>
              <w:br/>
              <w:t>(Conversion feature)</w:t>
            </w:r>
          </w:p>
        </w:tc>
        <w:tc>
          <w:tcPr>
            <w:tcW w:w="170"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Fair value allocated to conversion feature at inception date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859" w:type="dxa"/>
            <w:tcBorders/>
            <w:shd w:fill="CCEEFF" w:val="clear"/>
            <w:vAlign w:val="center"/>
          </w:tcPr>
          <w:p>
            <w:pPr>
              <w:pStyle w:val="TableContents"/>
              <w:bidi w:val="0"/>
              <w:spacing w:before="0" w:after="283"/>
              <w:jc w:val="right"/>
              <w:rPr/>
            </w:pPr>
            <w:r>
              <w:rPr/>
              <w:t>2,923,000</w:t>
            </w:r>
          </w:p>
        </w:tc>
        <w:tc>
          <w:tcPr>
            <w:tcW w:w="17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Conversion</w:t>
            </w:r>
          </w:p>
        </w:tc>
        <w:tc>
          <w:tcPr>
            <w:tcW w:w="9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859" w:type="dxa"/>
            <w:tcBorders/>
            <w:shd w:fill="FFFFFF" w:val="clear"/>
            <w:vAlign w:val="center"/>
          </w:tcPr>
          <w:p>
            <w:pPr>
              <w:pStyle w:val="TableContents"/>
              <w:bidi w:val="0"/>
              <w:spacing w:before="0" w:after="283"/>
              <w:jc w:val="right"/>
              <w:rPr/>
            </w:pPr>
            <w:r>
              <w:rPr/>
              <w:t>(1,502,937</w:t>
            </w:r>
          </w:p>
        </w:tc>
        <w:tc>
          <w:tcPr>
            <w:tcW w:w="170" w:type="dxa"/>
            <w:tcBorders/>
            <w:shd w:fill="FFFFFF" w:val="clear"/>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Change in fair value of derivative liability</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9" w:type="dxa"/>
            <w:tcBorders>
              <w:bottom w:val="single" w:sz="12" w:space="0" w:color="000000"/>
            </w:tcBorders>
            <w:shd w:fill="CCEEFF" w:val="clear"/>
            <w:tcMar>
              <w:bottom w:w="28" w:type="dxa"/>
            </w:tcMar>
            <w:vAlign w:val="center"/>
          </w:tcPr>
          <w:p>
            <w:pPr>
              <w:pStyle w:val="TableContents"/>
              <w:bidi w:val="0"/>
              <w:spacing w:before="0" w:after="283"/>
              <w:jc w:val="right"/>
              <w:rPr/>
            </w:pPr>
            <w:r>
              <w:rPr/>
              <w:t>(925,063</w:t>
            </w:r>
          </w:p>
        </w:tc>
        <w:tc>
          <w:tcPr>
            <w:tcW w:w="170" w:type="dxa"/>
            <w:tcBorders/>
            <w:shd w:fill="CCEEFF" w:val="clear"/>
            <w:vAlign w:val="center"/>
          </w:tcPr>
          <w:p>
            <w:pPr>
              <w:pStyle w:val="TableContents"/>
              <w:bidi w:val="0"/>
              <w:spacing w:before="0" w:after="283"/>
              <w:jc w:val="left"/>
              <w:rPr/>
            </w:pPr>
            <w:r>
              <w:rPr/>
              <w:t>)</w:t>
            </w:r>
          </w:p>
        </w:tc>
      </w:tr>
      <w:tr>
        <w:trPr/>
        <w:tc>
          <w:tcPr>
            <w:tcW w:w="5555" w:type="dxa"/>
            <w:tcBorders/>
            <w:shd w:fill="FFFFFF" w:val="clear"/>
            <w:vAlign w:val="center"/>
          </w:tcPr>
          <w:p>
            <w:pPr>
              <w:pStyle w:val="TableContents"/>
              <w:bidi w:val="0"/>
              <w:spacing w:before="0" w:after="283"/>
              <w:jc w:val="left"/>
              <w:rPr/>
            </w:pPr>
            <w:r>
              <w:rPr/>
              <w:t>Ending balance as of March 31, 2026</w:t>
            </w:r>
          </w:p>
        </w:tc>
        <w:tc>
          <w:tcPr>
            <w:tcW w:w="90" w:type="dxa"/>
            <w:tcBorders/>
            <w:shd w:fill="FFFFFF" w:val="clear"/>
            <w:vAlign w:val="center"/>
          </w:tcPr>
          <w:p>
            <w:pPr>
              <w:pStyle w:val="TableContents"/>
              <w:bidi w:val="0"/>
              <w:spacing w:before="0" w:after="283"/>
              <w:jc w:val="left"/>
              <w:rPr/>
            </w:pPr>
            <w:r>
              <w:rPr/>
              <w:t> </w:t>
            </w:r>
          </w:p>
        </w:tc>
        <w:tc>
          <w:tcPr>
            <w:tcW w:w="2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859" w:type="dxa"/>
            <w:tcBorders>
              <w:bottom w:val="double" w:sz="10" w:space="0" w:color="000000"/>
            </w:tcBorders>
            <w:shd w:fill="FFFFFF" w:val="clear"/>
            <w:tcMar>
              <w:bottom w:w="28" w:type="dxa"/>
            </w:tcMar>
            <w:vAlign w:val="center"/>
          </w:tcPr>
          <w:p>
            <w:pPr>
              <w:pStyle w:val="TableContents"/>
              <w:bidi w:val="0"/>
              <w:spacing w:before="0" w:after="283"/>
              <w:jc w:val="right"/>
              <w:rPr/>
            </w:pPr>
            <w:r>
              <w:rPr/>
              <w:t>495,000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leases in accordance with ASU 2016-02, “Leases” (Topic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criteria are met, the Company classifies the lease as a finance lease:</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68"/>
        <w:gridCol w:w="200"/>
        <w:gridCol w:w="77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lease transfers ownership of the underlying asset to the lessee by the end of the lease term;</w:t>
            </w:r>
          </w:p>
        </w:tc>
      </w:tr>
    </w:tbl>
    <w:p>
      <w:pPr>
        <w:pStyle w:val="TextBody"/>
        <w:bidi w:val="0"/>
        <w:spacing w:before="0" w:after="0"/>
        <w:ind w:left="0" w:right="0" w:hanging="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68"/>
        <w:gridCol w:w="20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lease grants the lessee an option to purchase the underlying asset that the Company is reasonably certain to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lease term is for 75% or more of the remaining economic life of the underlying asset, unless the commencement date falls within the last 25% of the economic life of the underlying asset;</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68"/>
        <w:gridCol w:w="200"/>
        <w:gridCol w:w="9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present value of the sum of the lease payments equals or exceeds 90% of the fair value of the underlying asset;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underlying asset is of such a specialized nature that it is expected to have no alternative use to the lessor at the end of the lease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that do not meet any of the above criteria are accounted for as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combines lease and non-lease components in its contracts under Topic 842, when permissible.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and operating lease right-of-use (“ROU”) assets and lease liabilities are recognized at the commencement date based on the present value of lease payments over the lease term. Since the implicit rate for the Company’s leases is not readily determinable, the Company uses its incremental borrowing rate based on the information available at the commencement date in determining the present value of lease payments. The incremental borrowing rate is the rate of interest that the Company would have to pay to borrow, on a collateralized basis, an amount equal to the lease payments, in a similar economic environment and over a similar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finance or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finance or operating lease ROU asset also excludes lease incentives. Lease expense is recognized on a straight-line basis over the lease term for operating lease. Meanwhile, the Company recognizes the finance leases ROU assets and interest on an amortized cost basis. The amortization of finance ROU assets is recognized on straight-line basis as amortization expense, while the lease liability is increased to reflect interest on the liability and decreased to reflect the lease payments made during the period. Interest expense on the lease liability is determined each period during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impairment of its ROU assets consistent with the approach applied for its other long-lived assets. The Company reviews the recoverability of its long-lived assets when events or changes in circumstances occur that indicate that the carrying value of the asset may not be recoverable. The assessment of possible impairment is based on its ability to recover the carrying value of the asset from the expected undiscounted future pre-tax cash flows of the related operations. The Company has elected to include the carrying amount of operating lease liabilities in any tested asset group and include the associated operating lease payments in the undiscounted future pre-tax cash flows. For the years ended March 31, 2026, 2025 and 2024, the Company did not recognize impairment loss on its finance and operating lease ROU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related parties, accounts for and discloses related party transactions in accordance with ASC 850, “Related Party Disclosures” and other relevant ASC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or individual parties are considered to be related if they have the ability, directly or indirectly, to control the Company or exercise significant influence over the Company in making financial and operating decisions. Entities are also considered to be related if they are subject to common control or common significant influence.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adheres to ASC 450, “Contingencies” for the recognition, measurement, and disclosure of commitments and contingencies. Contingencies, representing uncertainties related to potential liabilities or gains stemming from past events, are evaluated based on available information, legal counsel advice, and historical experience. The Company records accruals for losses when it is probable and reasonably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Accounting Standards That Have Been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The ASU requires the annual financial statements to include consistent categories and greater disaggregation of information in the rate reconciliation, and income taxes paid disaggregated by jurisdiction. ASU 2023-09 is effective for public business entities for annual periods beginning after December 15, 2024, and interim periods within those annual periods; early adoption is permitted. Adoption is either with a prospective method or a fully retrospective method of transition. The Company adopted ASU 2023-07 on April 1, 2025, on a prospective basis, and the adoption does not have a material impact on its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Accounting Standards That Have Not Yet Been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which amends various disclosure and presentation requirements in the Codification to align them with the SEC’s disclosure requirements and improve consistency and comparability. The effective date depends on when the SEC removes the related disclosure requirements from Regulation S-X or Regulation S-K, and early adoption is not permitted. If the SEC does not remove the applicable disclosure requirement by June 30, 2027, the related amendment will not become effective. The Company is currently evaluating the impact of the adoption of this ASU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Debt—Debt with Conversion and Other Options (Subtopic 470-20): Induced Conversions of Convertible Debt Instruments</w:t>
      </w:r>
      <w:r>
        <w:rPr>
          <w:rFonts w:ascii="Times New Roman;Times;Serif" w:hAnsi="Times New Roman;Times;Serif"/>
          <w:b w:val="false"/>
          <w:i w:val="false"/>
          <w:caps w:val="false"/>
          <w:smallCaps w:val="false"/>
          <w:sz w:val="20"/>
        </w:rPr>
        <w:t>, which clarifies the accounting for induced conversions of convertible debt, including the consideration required to qualify as an induced conversion and the applicability of the guidance to certain instruments not currently convertible. The amendments are effective for annual periods beginning after December 15, 2025, with early adoption permitted for entities that have adopted ASU 2020-06. The Company is currently evaluating the impact of the adoption of this ASU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the FASB issued ASU No. 2024-03, Expense Disaggregation Disclosures (“ASU 2024-03”). ASU 2024-03 amends ASC 220, Comprehensive Income to expand income statement expense disclosures and require disclosure in the notes to the financial statements of specified information about certain costs and expenses. ASU 2024-03 is required to be adopted for fiscal years commencing after December 15, 2026, with early adoption permitted. The Company is currently evaluating the impact of adopting the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FASB issued ASU 2025-01,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which clarifies the effective date of ASU 2024-03 for non-calendar year-end public business entities. The amendments confirm that all public business entities should initially adopt the disclosure requirements in the first annual reporting period beginning after December 15, 2026, with interim reporting beginning after December 15, 2027. The Company is currently evaluating the impact of this ASU on its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r>
        <w:rPr>
          <w:rFonts w:ascii="Times New Roman;Times;Serif" w:hAnsi="Times New Roman;Times;Serif"/>
          <w:b w:val="false"/>
          <w:i w:val="false"/>
          <w:caps w:val="false"/>
          <w:smallCaps w:val="false"/>
          <w:sz w:val="20"/>
        </w:rPr>
        <w:t>, which simplifies the guidance for capitalizing internal-use software costs by eliminating the prescribed software development stages. The amendments are effective for annual periods beginning after December 15, 2027, with early adoption permitted. The Company is currently evaluating the impact of this ASU and does not expect its adoption to have a material effect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includes targeted amendments to clarify, correct, and improve various topics in the Codification. The amendments are effective for interim reporting periods within annual reporting periods beginning after December 15, 2026, with early adoption permitted. The Company is currently evaluating the impact of this ASU and does not expect its adoption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the Company does not believe other recently issued but not yet effective accounting standards, if currently adopted, would have a material effect on the Company’s consolidated balance sheets, statements of operations and comprehensive income (loss) and statements of 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(the “Closing Date”), the Company consummated the transactions contemplated by that certain agreement and plan of merger dated October 18, 2023 (as amended on December 1, 2023, December 15, 2023, January 31, 2024, and September 30, 2024, the “Merger Agreement”), entered by and among (i) the Company, (ii) RFAC, (iii) GCL BVI, (iv) GCL Global, and, (v) Sponsor. Pursuant to the Merger Agreement, the Company formed two wholly-owned subsidiaries for the purpose of participating in the contemplated transactions: (i) a Cayman Islands exempted company limited by shares (“Merger Sub 1”), and (ii) a Delaware corporation (“Merger Sub 2”). Capitalized terms used but not otherwise defined herein shall have the meanings set forth in the Merger Agreement. On the Closing Date, pursuant to the Merger Agreement: (a) Merger Sub 1 merged with and into GCL Global, with GCL Global continuing as the surviving entity in the merger (the “Initial Merger”), as a result of which: (i) GCL Global became a wholly-owned subsidiary of the Company and (ii) each issued and outstanding security of GCL Global immediately prior to the consummation of the Merger was no longer outstanding and automatically cancelled, in exchange for the right of the holder thereof to receive such number of newly issued shares of the Company specified below; and (b) Merger Sub 2 merged with and into RFAC, with RFAC surviving such merger as a wholly owned subsidiary of the Company (the “SPAC Merger” and together with the Initial Merger, the “Mergers”, and together the other transactions and ancillary agreements contemplated by the Merger Agreement and the Ancillary Agreements (as defined below), the “Business Combination” or “Transactions”). As a result of the Transactions, RFAC and GCL Global each became a wholly-owned subsidiary of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Business Combination, the following transaction (“collectively, the “Transaction”) were completed, based on the Company’s capitalization as of February 13,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ordinary share of GCL Global issued and outstanding immediately prior to the Initial Merger Effective Time (other than any treasury shares or Dissenting Shares), was automatically cancelled and ceased to exist in exchange for the right to receive, such number of newly issued ordinary shares of PubCo, par value $0.0001 per share (the “PubCo Ordinary Shares”) at an exchange ratio of 1 for 4.0536 (“Exchange Ratio”), rounded up to the nearest whole share (the “Merger Consideration Shares”), and as of the Initial Merger Effective Time, each Company Shareholder (as defined in the Merger Agreement) ceased to have any other rights in and to GCL Global (other than any applicable appraisal and dissenter’s rights);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share of RFAC common stock, including RFAC Class A Common Stock and RFAC Class B Common Stock, issued and outstanding immediately prior to the effective time of the Business Combination (other than any redeemed shares) was automatically cancelled and ceased to exist and, for each share of RFAC common stock, the Company issued to each RFAC shareholder (other than RFAC shareholders who exercised their redemption rights in connection with the Business Combination) one validly issued Company ordinary share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RFAC warrant issued and outstanding immediately prior to effective time of the Business Combination converted into a Company warrant to purchase one ordinary share of the Company (each, a “Warrant”) (or equivalent portion thereof). The Warrants have substantially the same terms and conditions as set forth in the RFAC warrants, except that the Warrant is exercisable for shares of the Company ordinary shares rather than RFAC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10 RFAC Rights issued and outstanding immediately prior to the effective time of the Business Combination converted into one ordinary share of the Company (rounded down to the nearest whole share). Upon closing of the Business Combination, 11,499,980 RFAC Rights were converted into 1,149,998 shares of the Company’s ordinary shares;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2,000,000 shares of the Company’s ordinary shares were issued as an incentive to certain investors in connection with transaction financing; and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number of the Company’s ordinary shares issued and outstanding immediately following the Reverse Recapitalization: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9"/>
        <w:gridCol w:w="90"/>
        <w:gridCol w:w="90"/>
        <w:gridCol w:w="1250"/>
        <w:gridCol w:w="156"/>
      </w:tblGrid>
      <w:tr>
        <w:trPr/>
        <w:tc>
          <w:tcPr>
            <w:tcW w:w="8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w:t>
              <w:br/>
              <w:t>Share</w:t>
            </w:r>
          </w:p>
        </w:tc>
        <w:tc>
          <w:tcPr>
            <w:tcW w:w="156" w:type="dxa"/>
            <w:tcBorders/>
            <w:vAlign w:val="center"/>
          </w:tcPr>
          <w:p>
            <w:pPr>
              <w:pStyle w:val="TableContents"/>
              <w:bidi w:val="0"/>
              <w:spacing w:before="0" w:after="283"/>
              <w:ind w:left="0" w:right="0" w:hanging="180"/>
              <w:jc w:val="left"/>
              <w:rPr/>
            </w:pPr>
            <w:r>
              <w:rPr/>
              <w:t> </w:t>
            </w:r>
          </w:p>
        </w:tc>
      </w:tr>
      <w:tr>
        <w:trPr/>
        <w:tc>
          <w:tcPr>
            <w:tcW w:w="8619" w:type="dxa"/>
            <w:tcBorders/>
            <w:shd w:fill="CCEEFF" w:val="clear"/>
            <w:vAlign w:val="center"/>
          </w:tcPr>
          <w:p>
            <w:pPr>
              <w:pStyle w:val="TableContents"/>
              <w:bidi w:val="0"/>
              <w:spacing w:before="0" w:after="283"/>
              <w:jc w:val="left"/>
              <w:rPr/>
            </w:pPr>
            <w:r>
              <w:rPr/>
              <w:t>RFAC’s common stock outstanding prior to Reverse Recapitalization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4,276,394</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8619" w:type="dxa"/>
            <w:tcBorders/>
            <w:shd w:fill="FFFFFF" w:val="clear"/>
            <w:vAlign w:val="center"/>
          </w:tcPr>
          <w:p>
            <w:pPr>
              <w:pStyle w:val="TableContents"/>
              <w:bidi w:val="0"/>
              <w:spacing w:before="0" w:after="283"/>
              <w:jc w:val="left"/>
              <w:rPr/>
            </w:pPr>
            <w:r>
              <w:rPr/>
              <w:t>Ordinary shares issued at the Closing as an incentive to certain investors designated by RFAC Sponsor in connection with Transaction Financing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2,000,000</w:t>
            </w:r>
          </w:p>
        </w:tc>
        <w:tc>
          <w:tcPr>
            <w:tcW w:w="156" w:type="dxa"/>
            <w:tcBorders/>
            <w:shd w:fill="FFFFFF" w:val="clear"/>
            <w:vAlign w:val="center"/>
          </w:tcPr>
          <w:p>
            <w:pPr>
              <w:pStyle w:val="TableContents"/>
              <w:bidi w:val="0"/>
              <w:spacing w:before="0" w:after="283"/>
              <w:ind w:left="0" w:right="0" w:hanging="180"/>
              <w:jc w:val="left"/>
              <w:rPr/>
            </w:pPr>
            <w:r>
              <w:rPr/>
              <w:t> </w:t>
            </w:r>
          </w:p>
        </w:tc>
      </w:tr>
      <w:tr>
        <w:trPr/>
        <w:tc>
          <w:tcPr>
            <w:tcW w:w="8619" w:type="dxa"/>
            <w:tcBorders/>
            <w:shd w:fill="CCEEFF" w:val="clear"/>
            <w:vAlign w:val="center"/>
          </w:tcPr>
          <w:p>
            <w:pPr>
              <w:pStyle w:val="TableContents"/>
              <w:bidi w:val="0"/>
              <w:spacing w:before="0" w:after="283"/>
              <w:jc w:val="left"/>
              <w:rPr/>
            </w:pPr>
            <w:r>
              <w:rPr/>
              <w:t>Conversion of GCL Global’s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120,000,000</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861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ind w:left="0" w:right="0" w:hanging="180"/>
              <w:jc w:val="left"/>
              <w:rPr/>
            </w:pPr>
            <w:r>
              <w:rPr/>
              <w:t> </w:t>
            </w:r>
          </w:p>
        </w:tc>
      </w:tr>
      <w:tr>
        <w:trPr/>
        <w:tc>
          <w:tcPr>
            <w:tcW w:w="8619" w:type="dxa"/>
            <w:tcBorders/>
            <w:shd w:fill="CCEEFF" w:val="clear"/>
            <w:vAlign w:val="center"/>
          </w:tcPr>
          <w:p>
            <w:pPr>
              <w:pStyle w:val="TableContents"/>
              <w:bidi w:val="0"/>
              <w:spacing w:before="0" w:after="283"/>
              <w:jc w:val="left"/>
              <w:rPr>
                <w:i/>
              </w:rPr>
            </w:pPr>
            <w:r>
              <w:rPr>
                <w:i/>
              </w:rPr>
              <w:t>Minus ordinary share placed in escrow:</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8619" w:type="dxa"/>
            <w:tcBorders/>
            <w:shd w:fill="FFFFFF" w:val="clear"/>
            <w:vAlign w:val="center"/>
          </w:tcPr>
          <w:p>
            <w:pPr>
              <w:pStyle w:val="TableContents"/>
              <w:bidi w:val="0"/>
              <w:spacing w:before="0" w:after="283"/>
              <w:jc w:val="left"/>
              <w:rPr/>
            </w:pPr>
            <w:r>
              <w:rPr/>
              <w:t>Bonus Shares in connection with convertible note (See Note 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(2,201,665</w:t>
            </w:r>
          </w:p>
        </w:tc>
        <w:tc>
          <w:tcPr>
            <w:tcW w:w="156" w:type="dxa"/>
            <w:tcBorders/>
            <w:shd w:fill="FFFFFF" w:val="clear"/>
            <w:vAlign w:val="center"/>
          </w:tcPr>
          <w:p>
            <w:pPr>
              <w:pStyle w:val="TableContents"/>
              <w:bidi w:val="0"/>
              <w:spacing w:before="0" w:after="283"/>
              <w:ind w:left="0" w:right="0" w:hanging="180"/>
              <w:jc w:val="left"/>
              <w:rPr/>
            </w:pPr>
            <w:r>
              <w:rPr/>
              <w:t>)</w:t>
            </w:r>
          </w:p>
        </w:tc>
      </w:tr>
      <w:tr>
        <w:trPr/>
        <w:tc>
          <w:tcPr>
            <w:tcW w:w="8619" w:type="dxa"/>
            <w:tcBorders/>
            <w:shd w:fill="CCEEFF" w:val="clear"/>
            <w:vAlign w:val="center"/>
          </w:tcPr>
          <w:p>
            <w:pPr>
              <w:pStyle w:val="TableContents"/>
              <w:bidi w:val="0"/>
              <w:spacing w:before="0" w:after="283"/>
              <w:jc w:val="left"/>
              <w:rPr/>
            </w:pPr>
            <w:r>
              <w:rPr/>
              <w:t>Issuance of ordinary shares in connection with long-term investment in Nekcom Inc. (“Nekcom”) (See Note 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(2,126,729</w:t>
            </w:r>
          </w:p>
        </w:tc>
        <w:tc>
          <w:tcPr>
            <w:tcW w:w="156" w:type="dxa"/>
            <w:tcBorders/>
            <w:shd w:fill="CCEEFF" w:val="clear"/>
            <w:vAlign w:val="center"/>
          </w:tcPr>
          <w:p>
            <w:pPr>
              <w:pStyle w:val="TableContents"/>
              <w:bidi w:val="0"/>
              <w:spacing w:before="0" w:after="283"/>
              <w:ind w:left="0" w:right="0" w:hanging="180"/>
              <w:jc w:val="left"/>
              <w:rPr/>
            </w:pPr>
            <w:r>
              <w:rPr/>
              <w:t>)</w:t>
            </w:r>
          </w:p>
        </w:tc>
      </w:tr>
      <w:tr>
        <w:trPr/>
        <w:tc>
          <w:tcPr>
            <w:tcW w:w="8619" w:type="dxa"/>
            <w:tcBorders/>
            <w:shd w:fill="FFFFFF" w:val="clear"/>
            <w:vAlign w:val="center"/>
          </w:tcPr>
          <w:p>
            <w:pPr>
              <w:pStyle w:val="TableContents"/>
              <w:bidi w:val="0"/>
              <w:spacing w:before="0" w:after="283"/>
              <w:jc w:val="left"/>
              <w:rPr/>
            </w:pPr>
            <w:r>
              <w:rPr/>
              <w:t>Rounding</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56" w:type="dxa"/>
            <w:tcBorders/>
            <w:shd w:fill="FFFFFF" w:val="clear"/>
            <w:vAlign w:val="center"/>
          </w:tcPr>
          <w:p>
            <w:pPr>
              <w:pStyle w:val="TableContents"/>
              <w:bidi w:val="0"/>
              <w:spacing w:before="0" w:after="283"/>
              <w:ind w:left="0" w:right="0" w:hanging="180"/>
              <w:jc w:val="left"/>
              <w:rPr/>
            </w:pPr>
            <w:r>
              <w:rPr/>
              <w:t>)</w:t>
            </w:r>
          </w:p>
        </w:tc>
      </w:tr>
      <w:tr>
        <w:trPr/>
        <w:tc>
          <w:tcPr>
            <w:tcW w:w="8619" w:type="dxa"/>
            <w:tcBorders/>
            <w:shd w:fill="CCEEFF" w:val="clear"/>
            <w:vAlign w:val="center"/>
          </w:tcPr>
          <w:p>
            <w:pPr>
              <w:pStyle w:val="TableContents"/>
              <w:bidi w:val="0"/>
              <w:spacing w:before="0" w:after="283"/>
              <w:jc w:val="left"/>
              <w:rPr/>
            </w:pPr>
            <w:r>
              <w:rPr/>
              <w:t>Total ordinary share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121,947,978</w:t>
            </w:r>
          </w:p>
        </w:tc>
        <w:tc>
          <w:tcPr>
            <w:tcW w:w="15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was determined to be the accounting acquirer given GGL Global effectively controlled the combined entity after the SPAC Transaction. The transaction is not a business combination because RFAC was not a business. The transaction is accounted for as a reverse recapitalization, which is equivalent to the issuance of shares by GCL Global for the net monetary assets of RFAC, accompanied by a recapitalization. GCL Global is determined as the accounting acquirer and the historical financial statements of GCL Global became the Company’s historical financial statements, with retrospective adjustments to give effect of the reverse recapitalization. The net assets of RFAC were recognized as of the closing date at historical cost, with no goodwill or other intangible assets recorded. Operations prior to the Merger are those of GCL Global and GCL Global’s operations are the only ongoing operations of 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Recapitalization, the Company raised approximately $0.6 million of proceeds, presented as cash flows from financing activities, which included the contribution of approximately $0.6 million of funds held in RFAC’s trust account and cash held in RFAC’s operating cash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Reverse Recapitalization to the consolidated statements of cash flows, changes in shareholders’ equity, and net deficit of RFAC as of the closing date.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8"/>
        <w:gridCol w:w="90"/>
        <w:gridCol w:w="363"/>
        <w:gridCol w:w="2582"/>
        <w:gridCol w:w="172"/>
      </w:tblGrid>
      <w:tr>
        <w:trPr/>
        <w:tc>
          <w:tcPr>
            <w:tcW w:w="69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At Closing date February 13, </w:t>
              <w:br/>
              <w:t>2025</w:t>
            </w:r>
          </w:p>
        </w:tc>
        <w:tc>
          <w:tcPr>
            <w:tcW w:w="172" w:type="dxa"/>
            <w:tcBorders/>
            <w:vAlign w:val="center"/>
          </w:tcPr>
          <w:p>
            <w:pPr>
              <w:pStyle w:val="TableContents"/>
              <w:bidi w:val="0"/>
              <w:spacing w:before="0" w:after="283"/>
              <w:ind w:left="0" w:right="0" w:hanging="180"/>
              <w:jc w:val="left"/>
              <w:rPr/>
            </w:pPr>
            <w:r>
              <w:rPr/>
              <w:t> </w:t>
            </w:r>
          </w:p>
        </w:tc>
      </w:tr>
      <w:tr>
        <w:trPr/>
        <w:tc>
          <w:tcPr>
            <w:tcW w:w="6998" w:type="dxa"/>
            <w:tcBorders/>
            <w:shd w:fill="CCEEFF" w:val="clear"/>
            <w:vAlign w:val="center"/>
          </w:tcPr>
          <w:p>
            <w:pPr>
              <w:pStyle w:val="TableContents"/>
              <w:bidi w:val="0"/>
              <w:spacing w:before="0" w:after="283"/>
              <w:jc w:val="left"/>
              <w:rPr/>
            </w:pPr>
            <w:r>
              <w:rPr/>
              <w:t>Funds held in RFAC’s trust account</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2582" w:type="dxa"/>
            <w:tcBorders/>
            <w:shd w:fill="CCEEFF" w:val="clear"/>
            <w:vAlign w:val="center"/>
          </w:tcPr>
          <w:p>
            <w:pPr>
              <w:pStyle w:val="TableContents"/>
              <w:bidi w:val="0"/>
              <w:spacing w:before="0" w:after="283"/>
              <w:jc w:val="right"/>
              <w:rPr/>
            </w:pPr>
            <w:r>
              <w:rPr/>
              <w:t>499,932</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98" w:type="dxa"/>
            <w:tcBorders/>
            <w:shd w:fill="FFFFFF" w:val="clear"/>
            <w:vAlign w:val="center"/>
          </w:tcPr>
          <w:p>
            <w:pPr>
              <w:pStyle w:val="TableContents"/>
              <w:bidi w:val="0"/>
              <w:spacing w:before="0" w:after="283"/>
              <w:jc w:val="left"/>
              <w:rPr/>
            </w:pPr>
            <w:r>
              <w:rPr/>
              <w:t>Funds held in RFAC’s operating cash account</w:t>
            </w:r>
          </w:p>
        </w:tc>
        <w:tc>
          <w:tcPr>
            <w:tcW w:w="90" w:type="dxa"/>
            <w:tcBorders/>
            <w:shd w:fill="FFFFFF" w:val="clear"/>
            <w:vAlign w:val="center"/>
          </w:tcPr>
          <w:p>
            <w:pPr>
              <w:pStyle w:val="TableContents"/>
              <w:bidi w:val="0"/>
              <w:spacing w:before="0" w:after="283"/>
              <w:jc w:val="left"/>
              <w:rPr/>
            </w:pPr>
            <w:r>
              <w:rPr/>
              <w:t> </w:t>
            </w:r>
          </w:p>
        </w:tc>
        <w:tc>
          <w:tcPr>
            <w:tcW w:w="3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82" w:type="dxa"/>
            <w:tcBorders>
              <w:bottom w:val="single" w:sz="12" w:space="0" w:color="000000"/>
            </w:tcBorders>
            <w:shd w:fill="FFFFFF" w:val="clear"/>
            <w:tcMar>
              <w:bottom w:w="28" w:type="dxa"/>
            </w:tcMar>
            <w:vAlign w:val="center"/>
          </w:tcPr>
          <w:p>
            <w:pPr>
              <w:pStyle w:val="TableContents"/>
              <w:bidi w:val="0"/>
              <w:spacing w:before="0" w:after="283"/>
              <w:jc w:val="right"/>
              <w:rPr/>
            </w:pPr>
            <w:r>
              <w:rPr/>
              <w:t>111,776</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98" w:type="dxa"/>
            <w:tcBorders/>
            <w:shd w:fill="CCEEFF" w:val="clear"/>
            <w:vAlign w:val="center"/>
          </w:tcPr>
          <w:p>
            <w:pPr>
              <w:pStyle w:val="TableContents"/>
              <w:bidi w:val="0"/>
              <w:spacing w:before="0" w:after="283"/>
              <w:jc w:val="left"/>
              <w:rPr/>
            </w:pPr>
            <w:r>
              <w:rPr/>
              <w:t>Proceeds from the Reverse Recapitalization</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611,708</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98" w:type="dxa"/>
            <w:tcBorders/>
            <w:shd w:fill="FFFFFF" w:val="clear"/>
            <w:vAlign w:val="center"/>
          </w:tcPr>
          <w:p>
            <w:pPr>
              <w:pStyle w:val="TableContents"/>
              <w:bidi w:val="0"/>
              <w:spacing w:before="0" w:after="283"/>
              <w:jc w:val="left"/>
              <w:rPr/>
            </w:pPr>
            <w:r>
              <w:rPr/>
              <w:t>Less: non-cash net deficit assumed from RFAC</w:t>
            </w:r>
          </w:p>
        </w:tc>
        <w:tc>
          <w:tcPr>
            <w:tcW w:w="90" w:type="dxa"/>
            <w:tcBorders/>
            <w:shd w:fill="FFFFFF" w:val="clear"/>
            <w:vAlign w:val="center"/>
          </w:tcPr>
          <w:p>
            <w:pPr>
              <w:pStyle w:val="TableContents"/>
              <w:bidi w:val="0"/>
              <w:spacing w:before="0" w:after="283"/>
              <w:jc w:val="left"/>
              <w:rPr/>
            </w:pPr>
            <w:r>
              <w:rPr/>
              <w:t> </w:t>
            </w:r>
          </w:p>
        </w:tc>
        <w:tc>
          <w:tcPr>
            <w:tcW w:w="3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82" w:type="dxa"/>
            <w:tcBorders>
              <w:bottom w:val="single" w:sz="12" w:space="0" w:color="000000"/>
            </w:tcBorders>
            <w:shd w:fill="FFFFFF" w:val="clear"/>
            <w:tcMar>
              <w:bottom w:w="28" w:type="dxa"/>
            </w:tcMar>
            <w:vAlign w:val="center"/>
          </w:tcPr>
          <w:p>
            <w:pPr>
              <w:pStyle w:val="TableContents"/>
              <w:bidi w:val="0"/>
              <w:spacing w:before="0" w:after="283"/>
              <w:jc w:val="right"/>
              <w:rPr/>
            </w:pPr>
            <w:r>
              <w:rPr/>
              <w:t>(10,692,920</w:t>
            </w:r>
          </w:p>
        </w:tc>
        <w:tc>
          <w:tcPr>
            <w:tcW w:w="172" w:type="dxa"/>
            <w:tcBorders/>
            <w:shd w:fill="FFFFFF" w:val="clear"/>
            <w:vAlign w:val="center"/>
          </w:tcPr>
          <w:p>
            <w:pPr>
              <w:pStyle w:val="TableContents"/>
              <w:bidi w:val="0"/>
              <w:spacing w:before="0" w:after="283"/>
              <w:ind w:left="0" w:right="0" w:hanging="180"/>
              <w:jc w:val="left"/>
              <w:rPr/>
            </w:pPr>
            <w:r>
              <w:rPr/>
              <w:t>)</w:t>
            </w:r>
          </w:p>
        </w:tc>
      </w:tr>
      <w:tr>
        <w:trPr/>
        <w:tc>
          <w:tcPr>
            <w:tcW w:w="6998" w:type="dxa"/>
            <w:tcBorders/>
            <w:shd w:fill="CCEEFF" w:val="clear"/>
            <w:vAlign w:val="center"/>
          </w:tcPr>
          <w:p>
            <w:pPr>
              <w:pStyle w:val="TableContents"/>
              <w:bidi w:val="0"/>
              <w:spacing w:before="0" w:after="283"/>
              <w:jc w:val="left"/>
              <w:rPr/>
            </w:pPr>
            <w:r>
              <w:rPr/>
              <w:t>Net deficit from issuance of ordinary shares upon the Reverse Recapitalization</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582" w:type="dxa"/>
            <w:tcBorders>
              <w:bottom w:val="double" w:sz="10" w:space="0" w:color="000000"/>
            </w:tcBorders>
            <w:shd w:fill="CCEEFF" w:val="clear"/>
            <w:tcMar>
              <w:bottom w:w="28" w:type="dxa"/>
            </w:tcMar>
            <w:vAlign w:val="center"/>
          </w:tcPr>
          <w:p>
            <w:pPr>
              <w:pStyle w:val="TableContents"/>
              <w:bidi w:val="0"/>
              <w:spacing w:before="0" w:after="283"/>
              <w:jc w:val="right"/>
              <w:rPr/>
            </w:pPr>
            <w:r>
              <w:rPr/>
              <w:t>(10,081,212</w:t>
            </w:r>
          </w:p>
        </w:tc>
        <w:tc>
          <w:tcPr>
            <w:tcW w:w="17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Acquisition of 2Game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2022, GCL Global SG entered into a share purchase agreement (the “SPA”) with three unrelated parties to acquire a 51% equity interest in 2Game. 2Game, incorporated in Hong Kong, primarily engages in the distribution of game codes and other related consumer items. Pursuant to the SPA, the Company is obligated to pay an aggregate of up to $6,120,000 consideration which consist of following five tranches to the aforementioned three parties upon certain conditions are met. </w:t>
      </w:r>
    </w:p>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8"/>
        <w:gridCol w:w="200"/>
        <w:gridCol w:w="8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1</w:t>
            </w:r>
            <w:r>
              <w:rPr>
                <w:rFonts w:ascii="Times New Roman;Times;Serif" w:hAnsi="Times New Roman;Times;Serif"/>
                <w:sz w:val="20"/>
              </w:rPr>
              <w:t> — A cash consideration of $6,550 is to be paid upon the completion of the acquisition of 2Game.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2</w:t>
            </w:r>
            <w:r>
              <w:rPr>
                <w:rFonts w:ascii="Times New Roman;Times;Serif" w:hAnsi="Times New Roman;Times;Serif"/>
                <w:sz w:val="20"/>
              </w:rPr>
              <w:t> — A consideration of $2,993,450, comprised of 67% in cash and 33% in shares, is to be issued upon the successful listing on the US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3</w:t>
            </w:r>
            <w:r>
              <w:rPr>
                <w:rFonts w:ascii="Times New Roman;Times;Serif" w:hAnsi="Times New Roman;Times;Serif"/>
                <w:sz w:val="20"/>
              </w:rPr>
              <w:t> — A consideration of $800,000, comprising 67% in cash and 33% in shares, is to be paid upon 2Game’s achievement in a gross revenue target of $19,400,000 and a Net Profit After Tax (NPAT) of $714,273 for the fiscal year ending March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4</w:t>
            </w:r>
            <w:r>
              <w:rPr>
                <w:rFonts w:ascii="Times New Roman;Times;Serif" w:hAnsi="Times New Roman;Times;Serif"/>
                <w:sz w:val="20"/>
              </w:rPr>
              <w:t> — A consideration of $1,000,000, comprising 67% in cash and 33% in shares, is to be paid upon 2Game’s achievement in a gross revenue target of $31,072,773 and an NPAT of $893,201 for the fiscal year ending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5</w:t>
            </w:r>
            <w:r>
              <w:rPr>
                <w:rFonts w:ascii="Times New Roman;Times;Serif" w:hAnsi="Times New Roman;Times;Serif"/>
                <w:sz w:val="20"/>
              </w:rPr>
              <w:t> — A consideration of $1,320,000, comprising 67% in cash and 33% in shares, is to be paid upon 2Game’s achievement in a gross revenue target of $37,852,287 and an NPAT of $1,238,956 for the fiscal year ending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Tranche 3 to 5, in the event that either one or both the gross revenue and NPAT are below the gross revenue target and NPAT target, the consideration shares shall be reduced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event of 2Game’s net profit after tax (“NPAT”) is in excess of the NPAT target set out in financial performance milestones, the above mentioned third parties shall be entitled to the additional cash and shares consideration (“Outperformance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2023, parties, through a contract addendum, changed the consideration payment schedule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2</w:t>
            </w:r>
            <w:r>
              <w:rPr>
                <w:rFonts w:ascii="Times New Roman;Times;Serif" w:hAnsi="Times New Roman;Times;Serif"/>
                <w:sz w:val="20"/>
              </w:rPr>
              <w:t> — A consideration of $2,993,450, comprised of 100% in shares, is to be issued upon the successful listing on the US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4</w:t>
            </w:r>
            <w:r>
              <w:rPr>
                <w:rFonts w:ascii="Times New Roman;Times;Serif" w:hAnsi="Times New Roman;Times;Serif"/>
                <w:sz w:val="20"/>
              </w:rPr>
              <w:t> — A consideration of $1,000,000, comprising 100% in cash, is to be paid upon 2Game’s achievement in a gross revenue target of $31,072,773 and an NPAT of $893,201 for the fiscal year ending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5</w:t>
            </w:r>
            <w:r>
              <w:rPr>
                <w:rFonts w:ascii="Times New Roman;Times;Serif" w:hAnsi="Times New Roman;Times;Serif"/>
                <w:sz w:val="20"/>
              </w:rPr>
              <w:t> — A consideration of $1,320,000, comprising 100% in shares, is to be paid upon 2Game’s achievement in a gross revenue target of $37,852,287 and an NPAT of $1,238,956 for the fiscal year ending March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2024, parties, through another addendum, changed the consideration payment schedule.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Tranche 2</w:t>
            </w:r>
            <w:r>
              <w:rPr>
                <w:rFonts w:ascii="Times New Roman;Times;Serif" w:hAnsi="Times New Roman;Times;Serif"/>
                <w:sz w:val="20"/>
              </w:rPr>
              <w:t> — A consideration of $2,993,450, comprised of 10% in cash and 90% in shares, is to be issued upon the successful listing on the US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parties entered into an addendum (“Final Addendum”) to the existing share purchase agreements to provide a final and conclusive settlement (“Final Settlement”) of the share-based consideration previously issued to the sellers in connection with the 2Game acquisition. The addendum establishes a limited price-protection mechanism, subject to a cap of $5,137,569, based on certain market conditions of the Company’s shares. The addendum further provides that the sellers irrevocably waive and release all claims against the Company and its affiliates arising from the prior share purchase agreements, while preserving the Company’s rights under those agreements, and constitutes a full and final settlement of all legacy rights and obligations relating to the share consideration.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achieved the milestones associated with Tranches 1 through 5 and Final Settlement. The corresponding cash or share consideration for Tranches 1 through 5 and final settlement of the share-based consideration has been fully settled.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acquisition of 2Game was accounted for as a business combination in accordance with ASC 805. The Company has allocated the purchase price of 2Game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FASB using the fair value approach. Management of the Company is responsible for determining the fair value of assets acquired, liabilities assumed, and intangible assets identified as of the acquisition date. Acquisition-related costs incurred for the acquisitions amounted to $78,254 and have been expensed as incurred 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acquisition of 2Game was not significant based on assessments using the income test, asset test, and investment test pursuant to S-X Rule 3-05. Pursuant to ASC 805-10-50-2 (h). the unaudited pro forma information of the Company for the year ended March 31, 2023 set forth below gives effect to the business combination as if it had occurred on April 1, 2022 and combines the results of operations of the Company since then. The unaudited pro forma information is presented after applying the Company’s accounting policies and elimination intra-entity transactions, as applicable. The unaudited pro forma information does not include any impact of transaction synergies and is presented for informational purposes only and is not necessarily indicative of the results of operations that would actually have been occurred had the business combination been consummated as of that time or that may result in the future:</w:t>
      </w:r>
    </w:p>
    <w:p>
      <w:pPr>
        <w:pStyle w:val="TextBody"/>
        <w:bidi w:val="0"/>
        <w:spacing w:before="0" w:after="0"/>
        <w:ind w:left="0" w:right="0" w:hanging="0"/>
        <w:jc w:val="both"/>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3140"/>
        <w:gridCol w:w="90"/>
        <w:gridCol w:w="306"/>
        <w:gridCol w:w="2038"/>
        <w:gridCol w:w="90"/>
        <w:gridCol w:w="90"/>
        <w:gridCol w:w="306"/>
        <w:gridCol w:w="2038"/>
        <w:gridCol w:w="135"/>
      </w:tblGrid>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b/>
              </w:rPr>
            </w:pPr>
            <w:r>
              <w:rPr>
                <w:b/>
              </w:rPr>
              <w:t>For the</w:t>
              <w:br/>
              <w:t>Year ended 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b/>
              </w:rPr>
            </w:pPr>
            <w:r>
              <w:rPr>
                <w:b/>
              </w:rPr>
              <w:t>For the</w:t>
              <w:br/>
              <w:t>Year ended March 31,</w:t>
            </w:r>
          </w:p>
        </w:tc>
        <w:tc>
          <w:tcPr>
            <w:tcW w:w="13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Unaudited pro forma revenue</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77,444,155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65,827,057</w:t>
            </w:r>
          </w:p>
        </w:tc>
        <w:tc>
          <w:tcPr>
            <w:tcW w:w="13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Unaudited pro forma net income</w:t>
            </w:r>
          </w:p>
        </w:tc>
        <w:tc>
          <w:tcPr>
            <w:tcW w:w="9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2038" w:type="dxa"/>
            <w:tcBorders/>
            <w:shd w:fill="FFFFFF" w:val="clear"/>
            <w:vAlign w:val="center"/>
          </w:tcPr>
          <w:p>
            <w:pPr>
              <w:pStyle w:val="TableContents"/>
              <w:bidi w:val="0"/>
              <w:spacing w:before="0" w:after="283"/>
              <w:jc w:val="right"/>
              <w:rPr/>
            </w:pPr>
            <w:r>
              <w:rPr/>
              <w:t>2,140,643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2038" w:type="dxa"/>
            <w:tcBorders/>
            <w:shd w:fill="FFFFFF" w:val="clear"/>
            <w:vAlign w:val="center"/>
          </w:tcPr>
          <w:p>
            <w:pPr>
              <w:pStyle w:val="TableContents"/>
              <w:bidi w:val="0"/>
              <w:spacing w:before="0" w:after="283"/>
              <w:jc w:val="right"/>
              <w:rPr/>
            </w:pPr>
            <w:r>
              <w:rPr/>
              <w:t>4,586,525</w:t>
            </w:r>
          </w:p>
        </w:tc>
        <w:tc>
          <w:tcPr>
            <w:tcW w:w="135" w:type="dxa"/>
            <w:tcBorders/>
            <w:shd w:fill="FFFFFF" w:val="clear"/>
            <w:vAlign w:val="center"/>
          </w:tcPr>
          <w:p>
            <w:pPr>
              <w:pStyle w:val="TableContents"/>
              <w:bidi w:val="0"/>
              <w:spacing w:before="0" w:after="283"/>
              <w:jc w:val="left"/>
              <w:rPr/>
            </w:pPr>
            <w:r>
              <w:rPr/>
              <w:t> </w:t>
            </w:r>
          </w:p>
        </w:tc>
      </w:tr>
    </w:tbl>
    <w:tbl>
      <w:tblPr>
        <w:tblW w:w="5430" w:type="dxa"/>
        <w:jc w:val="left"/>
        <w:tblInd w:w="0" w:type="dxa"/>
        <w:tblLayout w:type="fixed"/>
        <w:tblCellMar>
          <w:top w:w="0" w:type="dxa"/>
          <w:left w:w="0" w:type="dxa"/>
          <w:bottom w:w="0" w:type="dxa"/>
          <w:right w:w="0" w:type="dxa"/>
        </w:tblCellMar>
      </w:tblPr>
      <w:tblGrid>
        <w:gridCol w:w="4025"/>
        <w:gridCol w:w="90"/>
        <w:gridCol w:w="170"/>
        <w:gridCol w:w="1010"/>
        <w:gridCol w:w="135"/>
      </w:tblGrid>
      <w:tr>
        <w:trPr/>
        <w:tc>
          <w:tcPr>
            <w:tcW w:w="4025"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6,550</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3,360,848</w:t>
            </w:r>
          </w:p>
        </w:tc>
        <w:tc>
          <w:tcPr>
            <w:tcW w:w="13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b/>
              </w:rPr>
            </w:pPr>
            <w:r>
              <w:rPr>
                <w:b/>
              </w:rPr>
              <w:t>Total consideration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3,367,398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acquisition date of 2Game, the fair value of the contingent consideration for acquisition was determined to be $3,360,848, which included approximately $55,000 outperformance consideration. Subsequently, the change of fair value of the contingent consideration for acquisition amounted to a loss $19,438, $545,428 and $272,029 for the years ended March 31, 2026, 2025 and 2024, respectively. As March 31, 2026, the fair value of contingent consideration for acquisition was nil. As March 31, 2025, the fair value of contingent consideration for acquisition amounted to $1,121,006.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assets acquired and liabilities assumed at the acquisition date, which represents the net purchase price allocation at the date of the acquisition of 2Game:</w:t>
      </w:r>
    </w:p>
    <w:p>
      <w:pPr>
        <w:pStyle w:val="TextBody"/>
        <w:bidi w:val="0"/>
        <w:spacing w:before="0" w:after="0"/>
        <w:ind w:left="0" w:right="0" w:hanging="0"/>
        <w:jc w:val="both"/>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2570"/>
        <w:gridCol w:w="90"/>
        <w:gridCol w:w="170"/>
        <w:gridCol w:w="1010"/>
        <w:gridCol w:w="170"/>
      </w:tblGrid>
      <w:tr>
        <w:trPr/>
        <w:tc>
          <w:tcPr>
            <w:tcW w:w="25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as of</w:t>
              <w:br/>
              <w:t>acquisition</w:t>
              <w:br/>
              <w:t>date</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3,367,398</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Non-controlling interest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2,590,000</w:t>
            </w:r>
          </w:p>
        </w:tc>
        <w:tc>
          <w:tcPr>
            <w:tcW w:w="17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Less: net assets of 2Game: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428</w:t>
            </w:r>
          </w:p>
        </w:tc>
        <w:tc>
          <w:tcPr>
            <w:tcW w:w="17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Prepayments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7,338</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4,742,000</w:t>
            </w:r>
          </w:p>
        </w:tc>
        <w:tc>
          <w:tcPr>
            <w:tcW w:w="17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4,749,766</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(33,382</w:t>
            </w:r>
          </w:p>
        </w:tc>
        <w:tc>
          <w:tcPr>
            <w:tcW w:w="170" w:type="dxa"/>
            <w:tcBorders/>
            <w:shd w:fill="FFFFFF" w:val="clear"/>
            <w:vAlign w:val="center"/>
          </w:tcPr>
          <w:p>
            <w:pPr>
              <w:pStyle w:val="TableContents"/>
              <w:bidi w:val="0"/>
              <w:spacing w:before="0" w:after="283"/>
              <w:jc w:val="left"/>
              <w:rPr/>
            </w:pPr>
            <w:r>
              <w:rPr/>
              <w:t>)</w:t>
            </w:r>
          </w:p>
        </w:tc>
      </w:tr>
      <w:tr>
        <w:trPr/>
        <w:tc>
          <w:tcPr>
            <w:tcW w:w="2570" w:type="dxa"/>
            <w:tcBorders/>
            <w:shd w:fill="CCEEFF" w:val="clear"/>
            <w:vAlign w:val="center"/>
          </w:tcPr>
          <w:p>
            <w:pPr>
              <w:pStyle w:val="TableContents"/>
              <w:bidi w:val="0"/>
              <w:spacing w:before="0" w:after="283"/>
              <w:jc w:val="both"/>
              <w:rPr/>
            </w:pPr>
            <w:r>
              <w:rPr/>
              <w:t>Deferred tax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(806,140</w:t>
            </w:r>
          </w:p>
        </w:tc>
        <w:tc>
          <w:tcPr>
            <w:tcW w:w="17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both"/>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(839,522</w:t>
            </w:r>
          </w:p>
        </w:tc>
        <w:tc>
          <w:tcPr>
            <w:tcW w:w="170" w:type="dxa"/>
            <w:tcBorders/>
            <w:shd w:fill="FFFFFF" w:val="clear"/>
            <w:vAlign w:val="center"/>
          </w:tcPr>
          <w:p>
            <w:pPr>
              <w:pStyle w:val="TableContents"/>
              <w:bidi w:val="0"/>
              <w:spacing w:before="0" w:after="283"/>
              <w:jc w:val="left"/>
              <w:rPr/>
            </w:pPr>
            <w:r>
              <w:rPr/>
              <w:t>)</w:t>
            </w:r>
          </w:p>
        </w:tc>
      </w:tr>
      <w:tr>
        <w:trPr/>
        <w:tc>
          <w:tcPr>
            <w:tcW w:w="2570" w:type="dxa"/>
            <w:tcBorders/>
            <w:shd w:fill="CCEEFF" w:val="clear"/>
            <w:vAlign w:val="center"/>
          </w:tcPr>
          <w:p>
            <w:pPr>
              <w:pStyle w:val="TableContents"/>
              <w:bidi w:val="0"/>
              <w:spacing w:before="0" w:after="283"/>
              <w:jc w:val="both"/>
              <w:rPr/>
            </w:pPr>
            <w:r>
              <w:rPr/>
              <w:t>Total net assets of 2Game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3,910,244</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Goodwill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2,047,154</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to the identifiable intangible assets acquired and liabilities assumed based on their acquisition date estimated fair values. The identifiable intangible assets principally included customer relationships, with estimated useful lives of 4.6 years based on the expected future economic benefit of the assets and are being amortized over the estimated useful life in proportion to the economic benefits consumed using the straight-line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the assistance of a third-party appraiser, assessed the fair value of the 100% equity interest, identifiable intangible assets acquired, and non-controlling interest in 2Game through using income approach based on the following factors: (a) assumptions on the market and the asset that are considered to be fair and reasonable; (b) financial performance that shows a consistent trend of the operation; (c) consideration and analysis on the micro and macro economy affecting the subject asset; (d) analysis on tactical planning, management standard and synergy of the subject assets; (e) analytical review of the subject asset; and (f) assessment of the leverage and liquidity of the subject asset. The significant assumption being used by the Company includes financial forecast, discount rate and attribution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non-controlling interest in 2Game’s was measured based on significant inputs that are not observable in the market and thus represents a Level 3 measurement. Key assumption includes adjustments because of the lack of control that market participants would consider when estimating the fair value of the non-controlling interest in 2Game.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client relationships was estimated using a multi-period excess earnings method. To calculate fair value, the Company estimated the attribution rate and used cash flows discounted at a rate considered appropriate given the inherent risks associated with each client grouping.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is not deductible for income tax purposes and is related primarily to the expected synergies from combining the operations into the Company’s console games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Acquisition of Starry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the Company, through its subsidiary, Titan Digital, entered into a sale and purchase agreements (“SPA1”) with Debbie Soon Rui Yi (“Debbie”), a related party who is the spouse of Jianhao Tan, the CEO of Titan Digital, to acquire 100% equity interest in Starry. Starry was incorporated in Singapore on June 16, 2020, and its principal activities mainly include distribution of Jewelry. Pursuant to the SPA1, Titan digital is obligated to issue 17,648 or 15% of Titan Digital’s ordinary shares to Debbie. On April 12, 2023, the acquisition of starry was completed (“Acquisition date”), and 17,648 shares of Titan Digital’s ordinary shares were issued to Debbie.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acquisition of Starry was accounted for as a business combination in accordance with ASC 805. The Company has allocated the purchase price of Starry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FASB using the fair value approach. Management of the Company is responsible for determining the fair value of assets acquired, liabilities assumed, and intangible assets identified as of the acquisition date. Acquisition-related costs incurred for the acquisitions were not material and were expensed as incurred in general and administrative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assessments using the income test, asset test, and investment test pursuant to S-X Rule 3-05, the Company concluded that the acquisition of Starry was not significant. Pursuant to ASC 805-10-50-2 (h). the unaudited pro forma information of the Company for the years ended March 31, 2024, and 2023 set forth below gives effect to the business combination as if it had occurred on April 1, 2022 and combines the results of operations of the Company since then. The unaudited pro forma information is presented after applying the Company’s accounting policies and elimination intra-entity transactions, as applicable. The unaudited pro forma information does not include any impact of transaction synergies and is presented for informational purposes only and is not necessarily indicative of the results of operations that would actually have been occurred had the business combination been consummated as of that time or that may result in the future.</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3140"/>
        <w:gridCol w:w="90"/>
        <w:gridCol w:w="170"/>
        <w:gridCol w:w="1130"/>
        <w:gridCol w:w="170"/>
      </w:tblGrid>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For the</w:t>
              <w:br/>
              <w:t xml:space="preserve">year ended </w:t>
              <w:br/>
              <w:t>March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Unaudited pro forma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97,534,701</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Unaudited pro forma net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(1,960,956</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summarizes the consideration transferred to acquiring starry at the date of acquisition:</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3305"/>
        <w:gridCol w:w="90"/>
        <w:gridCol w:w="170"/>
        <w:gridCol w:w="830"/>
        <w:gridCol w:w="135"/>
      </w:tblGrid>
      <w:tr>
        <w:trPr/>
        <w:tc>
          <w:tcPr>
            <w:tcW w:w="3305" w:type="dxa"/>
            <w:tcBorders/>
            <w:shd w:fill="CCEEFF" w:val="clear"/>
            <w:vAlign w:val="center"/>
          </w:tcPr>
          <w:p>
            <w:pPr>
              <w:pStyle w:val="TableContents"/>
              <w:bidi w:val="0"/>
              <w:spacing w:before="0" w:after="283"/>
              <w:jc w:val="left"/>
              <w:rPr/>
            </w:pPr>
            <w:r>
              <w:rPr/>
              <w:t>Share issuance*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564,546</w:t>
            </w:r>
          </w:p>
        </w:tc>
        <w:tc>
          <w:tcPr>
            <w:tcW w:w="13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b/>
              </w:rPr>
            </w:pPr>
            <w:r>
              <w:rPr>
                <w:b/>
              </w:rPr>
              <w:t>Total consideration at fair value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564,546</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Titan’s share issuance on April 12, 2023 were estimated by applying discounted cash flow approach which considers the present value of Titan Digital’s future after-tax cash flows using a 14.0% discount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assets acquired and liabilities assumed at the acquisition date, which represents the net purchase price allocation at the date of the acquisition of Starry:</w:t>
      </w:r>
    </w:p>
    <w:p>
      <w:pPr>
        <w:pStyle w:val="TextBody"/>
        <w:bidi w:val="0"/>
        <w:spacing w:before="0" w:after="0"/>
        <w:ind w:left="0" w:right="0" w:hanging="0"/>
        <w:jc w:val="left"/>
        <w:rPr>
          <w:caps w:val="false"/>
          <w:smallCaps w:val="false"/>
        </w:rPr>
      </w:pPr>
      <w:r>
        <w:rPr>
          <w:caps w:val="false"/>
          <w:smallCaps w:val="false"/>
        </w:rPr>
        <w:t> </w:t>
      </w:r>
    </w:p>
    <w:tbl>
      <w:tblPr>
        <w:tblW w:w="3914" w:type="dxa"/>
        <w:jc w:val="left"/>
        <w:tblInd w:w="0" w:type="dxa"/>
        <w:tblLayout w:type="fixed"/>
        <w:tblCellMar>
          <w:top w:w="0" w:type="dxa"/>
          <w:left w:w="0" w:type="dxa"/>
          <w:bottom w:w="0" w:type="dxa"/>
          <w:right w:w="0" w:type="dxa"/>
        </w:tblCellMar>
      </w:tblPr>
      <w:tblGrid>
        <w:gridCol w:w="2450"/>
        <w:gridCol w:w="90"/>
        <w:gridCol w:w="204"/>
        <w:gridCol w:w="1000"/>
        <w:gridCol w:w="170"/>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 xml:space="preserve">as of </w:t>
              <w:br/>
              <w:t xml:space="preserve">acquisition </w:t>
              <w:br/>
              <w:t>date</w:t>
            </w:r>
          </w:p>
        </w:tc>
        <w:tc>
          <w:tcPr>
            <w:tcW w:w="17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Total consideration</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564,546</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Less: net assets of Starry:</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128,843</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Inventory</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57,102</w:t>
            </w:r>
          </w:p>
        </w:tc>
        <w:tc>
          <w:tcPr>
            <w:tcW w:w="17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Prepaid expense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34,202</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Deposit Paid</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442</w:t>
            </w:r>
          </w:p>
        </w:tc>
        <w:tc>
          <w:tcPr>
            <w:tcW w:w="17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Intangible asset</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131,810</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Total assets</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352,399</w:t>
            </w:r>
          </w:p>
        </w:tc>
        <w:tc>
          <w:tcPr>
            <w:tcW w:w="17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(9,796</w:t>
            </w:r>
          </w:p>
        </w:tc>
        <w:tc>
          <w:tcPr>
            <w:tcW w:w="170" w:type="dxa"/>
            <w:tcBorders/>
            <w:shd w:fill="CCEEFF" w:val="clear"/>
            <w:vAlign w:val="center"/>
          </w:tcPr>
          <w:p>
            <w:pPr>
              <w:pStyle w:val="TableContents"/>
              <w:bidi w:val="0"/>
              <w:spacing w:before="0" w:after="283"/>
              <w:jc w:val="left"/>
              <w:rPr/>
            </w:pPr>
            <w:r>
              <w:rPr/>
              <w:t>)</w:t>
            </w:r>
          </w:p>
        </w:tc>
      </w:tr>
      <w:tr>
        <w:trPr/>
        <w:tc>
          <w:tcPr>
            <w:tcW w:w="2450" w:type="dxa"/>
            <w:tcBorders/>
            <w:shd w:fill="FFFFFF" w:val="clear"/>
            <w:vAlign w:val="center"/>
          </w:tcPr>
          <w:p>
            <w:pPr>
              <w:pStyle w:val="TableContents"/>
              <w:bidi w:val="0"/>
              <w:spacing w:before="0" w:after="283"/>
              <w:jc w:val="left"/>
              <w:rPr/>
            </w:pPr>
            <w:r>
              <w:rPr/>
              <w:t>Other payable</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(23,896</w:t>
            </w:r>
          </w:p>
        </w:tc>
        <w:tc>
          <w:tcPr>
            <w:tcW w:w="170" w:type="dxa"/>
            <w:tcBorders/>
            <w:shd w:fill="FFFFFF" w:val="clear"/>
            <w:vAlign w:val="center"/>
          </w:tcPr>
          <w:p>
            <w:pPr>
              <w:pStyle w:val="TableContents"/>
              <w:bidi w:val="0"/>
              <w:spacing w:before="0" w:after="283"/>
              <w:jc w:val="left"/>
              <w:rPr/>
            </w:pPr>
            <w:r>
              <w:rPr/>
              <w:t>)</w:t>
            </w:r>
          </w:p>
        </w:tc>
      </w:tr>
      <w:tr>
        <w:trPr/>
        <w:tc>
          <w:tcPr>
            <w:tcW w:w="2450" w:type="dxa"/>
            <w:tcBorders/>
            <w:shd w:fill="CCEEFF" w:val="clear"/>
            <w:vAlign w:val="center"/>
          </w:tcPr>
          <w:p>
            <w:pPr>
              <w:pStyle w:val="TableContents"/>
              <w:bidi w:val="0"/>
              <w:spacing w:before="0" w:after="283"/>
              <w:jc w:val="left"/>
              <w:rPr/>
            </w:pPr>
            <w:r>
              <w:rPr/>
              <w:t>Deferred tax liability</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(23,034</w:t>
            </w:r>
          </w:p>
        </w:tc>
        <w:tc>
          <w:tcPr>
            <w:tcW w:w="170" w:type="dxa"/>
            <w:tcBorders/>
            <w:shd w:fill="CCEEFF" w:val="clear"/>
            <w:vAlign w:val="center"/>
          </w:tcPr>
          <w:p>
            <w:pPr>
              <w:pStyle w:val="TableContents"/>
              <w:bidi w:val="0"/>
              <w:spacing w:before="0" w:after="283"/>
              <w:jc w:val="left"/>
              <w:rPr/>
            </w:pPr>
            <w:r>
              <w:rPr/>
              <w:t>)</w:t>
            </w:r>
          </w:p>
        </w:tc>
      </w:tr>
      <w:tr>
        <w:trPr/>
        <w:tc>
          <w:tcPr>
            <w:tcW w:w="2450" w:type="dxa"/>
            <w:tcBorders/>
            <w:shd w:fill="FFFFFF" w:val="clear"/>
            <w:vAlign w:val="center"/>
          </w:tcPr>
          <w:p>
            <w:pPr>
              <w:pStyle w:val="TableContents"/>
              <w:bidi w:val="0"/>
              <w:spacing w:before="0" w:after="283"/>
              <w:jc w:val="left"/>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(56,726</w:t>
            </w:r>
          </w:p>
        </w:tc>
        <w:tc>
          <w:tcPr>
            <w:tcW w:w="170" w:type="dxa"/>
            <w:tcBorders/>
            <w:shd w:fill="FFFFFF" w:val="clear"/>
            <w:vAlign w:val="center"/>
          </w:tcPr>
          <w:p>
            <w:pPr>
              <w:pStyle w:val="TableContents"/>
              <w:bidi w:val="0"/>
              <w:spacing w:before="0" w:after="283"/>
              <w:jc w:val="left"/>
              <w:rPr/>
            </w:pPr>
            <w:r>
              <w:rPr/>
              <w:t>)</w:t>
            </w:r>
          </w:p>
        </w:tc>
      </w:tr>
      <w:tr>
        <w:trPr/>
        <w:tc>
          <w:tcPr>
            <w:tcW w:w="2450" w:type="dxa"/>
            <w:tcBorders/>
            <w:shd w:fill="CCEEFF" w:val="clear"/>
            <w:vAlign w:val="center"/>
          </w:tcPr>
          <w:p>
            <w:pPr>
              <w:pStyle w:val="TableContents"/>
              <w:bidi w:val="0"/>
              <w:spacing w:before="0" w:after="283"/>
              <w:jc w:val="left"/>
              <w:rPr/>
            </w:pPr>
            <w:r>
              <w:rPr/>
              <w:t>Total net assets of Starry</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295,673</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Goodwill</w:t>
            </w:r>
          </w:p>
        </w:tc>
        <w:tc>
          <w:tcPr>
            <w:tcW w:w="9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268,873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to the identifiable intangible assets acquired and liabilities assumed based on their acquisition date estimated fair values. The identifiable intangible assets principally included licenses, with estimated useful lives of 1.0 years based on the expected future economic benefit of the assets and are being amortized over the estimated useful life in proportion to the economic benefits consumed using the straight-line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the assistance of a third-party appraiser, assessed the fair value of the 100% equity interest, and identifiable intangible assets acquired, in Starry through using income approach based on a number of factors including in the valuations from the third-party appraiser. The significant assumptions used by the Company include financial forecast and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licenses was estimated using a relief-from-royalty method. This method calculates fair value by assuming that if the license were to be acquired from a third-party owner, a royalty rate on revenue would be charged for the privilege of using the asset. Therefore, the fair value of the licenses represents the present value of the after-tax royalties saved as a result of owning the legal right to utilize the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which is not deductible for income tax purposes, is primarily attributed to the enhanced brand recognition expected from integrating Starry’s operations. The acquisition of Starry is strategically aimed at leveraging its expertise in jewelry and accessories retail. By collaborating with Starry, the Company plans to create unique, game character-inspired jewelry and accessories. This collaboration will not only promote and market certain games but also expand the Company’s customer base. The synergy between the gaming operations and the jewelry business is expected to increase brand visibility and appeal to a broader demographic, thereby enhancing brand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Acquisition of Martiangear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2023, the Company through its subsidiary, Titan Digital, entered into a sale and purchase agreements (“SPA2”) with two third-parties (“Vendors”) to acquire 100% equity interest of Martiangear. Martiangear was incorporated in Singapore on September 24, 2020, and its principal activities include distribution of gaming desks and chairs. The acquisition of Martiangear was completed on September 4, 2023 (“Acquisition Date”). Pursuant to the SPA2, the Company is obligated to remit an aggregate total of $835,348 consideration in fair value which consist of following three tranches to the Vendors.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Tranche 1 </w:t>
            </w:r>
            <w:r>
              <w:rPr>
                <w:rFonts w:ascii="Times New Roman;Times;Serif" w:hAnsi="Times New Roman;Times;Serif"/>
                <w:sz w:val="20"/>
              </w:rPr>
              <w:t>— 217,724 of the Company’s ordinary shares (“Consideration Share”) to the Vendors on the Acquisition Date. In the event that the Company fail to become a listed company within 24 months from the Completion Date, the Company irrevocably undertakes to purchase all of the Consideration Share from the Vendors for a cash consideration of $700,000. Given the condition of whether the company can become a listed entity within 24 months is not solely within the control of the Company and in accordance with ASC 480-10-S99, the Company record the fair value of the issuance of the Consideration Shares in Tranche 1 to the Vendors as mezzanine equity.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Tranche 2 </w:t>
            </w:r>
            <w:r>
              <w:rPr>
                <w:rFonts w:ascii="Times New Roman;Times;Serif" w:hAnsi="Times New Roman;Times;Serif"/>
                <w:sz w:val="20"/>
              </w:rPr>
              <w:t>— An aggregate total of $148,000 cash consideration issue to the Vendors which include (1) $48,000 due on the Completion Date, (2) $50,000 due on one month after the Completion Date, and (3) $50,000 due on two months after the Completion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issuance of these financial statements, the Company had issued 217,724 of its ordinary shares to the Vendors and paid $148,000 in cash consideration as agreed upon in Tranche 2 payment terms. On February 13, 2025, the 217,724 ordinary shares were reclassified from mezzanine equity to permanent equity as a result of the Company becoming a listed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acquisition of Martiangear was accounted for as a business combination in accordance with ASC 805. The Company has allocated the purchase price of Martiangear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FASB using the fair value approach. Management of the Company is responsible for determining the fair value of assets acquired, liabilities assumed, and intangible assets identified as of the acquisition date. Acquisition-related costs incurred for the acquisitions were not material and were expensed as incurred in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assessments using the income test, asset test, and investment test pursuant to S-X Rule 3-05, the Company concluded that the acquisition of Martiangear was not significant. Pursuant to ASC 805-10-50-2 (h), the unaudited pro forma information of the Company for the years ended March 31, 2024, and 2023 set forth below gives effect to the business combination as if it had occurred on April 1, 2022 and combines the results of operations of the Company since then. The unaudited pro forma information is presented after applying the Company’s accounting policies and elimination intra-entity transactions, as applicable. The unaudited pro forma information does not include any impact of transaction synergies and is presented for informational purposes only and is not necessarily indicative of the results of operations that would have been occurred had the business combination been consummated as of that time or that may result in the future:</w:t>
      </w:r>
    </w:p>
    <w:p>
      <w:pPr>
        <w:pStyle w:val="TextBody"/>
        <w:bidi w:val="0"/>
        <w:spacing w:before="0" w:after="0"/>
        <w:ind w:left="0" w:right="0" w:hanging="0"/>
        <w:jc w:val="center"/>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3140"/>
        <w:gridCol w:w="90"/>
        <w:gridCol w:w="170"/>
        <w:gridCol w:w="1130"/>
        <w:gridCol w:w="170"/>
      </w:tblGrid>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For the</w:t>
              <w:br/>
              <w:t>Year ended</w:t>
              <w:br/>
              <w:t>March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Unaudited pro forma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97,576,855</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Unaudited pro forma net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(1,957,135</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summarizes the consideration transferred to acquired Martiangear at the date of acquisition:</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3305"/>
        <w:gridCol w:w="90"/>
        <w:gridCol w:w="170"/>
        <w:gridCol w:w="830"/>
        <w:gridCol w:w="135"/>
      </w:tblGrid>
      <w:tr>
        <w:trPr/>
        <w:tc>
          <w:tcPr>
            <w:tcW w:w="3305" w:type="dxa"/>
            <w:tcBorders/>
            <w:shd w:fill="CCEEFF" w:val="clear"/>
            <w:vAlign w:val="center"/>
          </w:tcPr>
          <w:p>
            <w:pPr>
              <w:pStyle w:val="TableContents"/>
              <w:bidi w:val="0"/>
              <w:spacing w:before="0" w:after="283"/>
              <w:jc w:val="left"/>
              <w:rPr/>
            </w:pPr>
            <w:r>
              <w:rPr/>
              <w:t>Share issuance*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687,348</w:t>
            </w:r>
          </w:p>
        </w:tc>
        <w:tc>
          <w:tcPr>
            <w:tcW w:w="13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Cash consideration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148,000</w:t>
            </w:r>
          </w:p>
        </w:tc>
        <w:tc>
          <w:tcPr>
            <w:tcW w:w="13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Total consideration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835,348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value of the Company’s share issuance on July 25, 2023 were estimated by applying discounted cash flow approach which considers the present value of the Company’s future after-tax cash flows using a 14.0% discount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assets acquired and liabilities assumed at the acquisition date, which represents the net purchase price allocation at the date of the acquisition of Martiangear:</w:t>
      </w:r>
    </w:p>
    <w:p>
      <w:pPr>
        <w:pStyle w:val="TextBody"/>
        <w:bidi w:val="0"/>
        <w:spacing w:before="0" w:after="0"/>
        <w:ind w:left="0" w:right="0" w:hanging="0"/>
        <w:jc w:val="left"/>
        <w:rPr>
          <w:caps w:val="false"/>
          <w:smallCaps w:val="false"/>
        </w:rPr>
      </w:pPr>
      <w:r>
        <w:rPr>
          <w:caps w:val="false"/>
          <w:smallCaps w:val="false"/>
        </w:rPr>
        <w:t> </w:t>
      </w:r>
    </w:p>
    <w:tbl>
      <w:tblPr>
        <w:tblW w:w="4484" w:type="dxa"/>
        <w:jc w:val="left"/>
        <w:tblInd w:w="0" w:type="dxa"/>
        <w:tblLayout w:type="fixed"/>
        <w:tblCellMar>
          <w:top w:w="0" w:type="dxa"/>
          <w:left w:w="0" w:type="dxa"/>
          <w:bottom w:w="0" w:type="dxa"/>
          <w:right w:w="0" w:type="dxa"/>
        </w:tblCellMar>
      </w:tblPr>
      <w:tblGrid>
        <w:gridCol w:w="3020"/>
        <w:gridCol w:w="90"/>
        <w:gridCol w:w="204"/>
        <w:gridCol w:w="1000"/>
        <w:gridCol w:w="170"/>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as of </w:t>
              <w:br/>
              <w:t xml:space="preserve">acquisition </w:t>
              <w:br/>
              <w:t>date</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Total consideration</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835,348</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Less: net assets of Martiangear:</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8,263</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Accounts receivable</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4,808</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92,889</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Intangible asset</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85,675</w:t>
            </w:r>
          </w:p>
        </w:tc>
        <w:tc>
          <w:tcPr>
            <w:tcW w:w="17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191,635</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(17,457</w:t>
            </w:r>
          </w:p>
        </w:tc>
        <w:tc>
          <w:tcPr>
            <w:tcW w:w="17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Deferred tax liability</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(13,197</w:t>
            </w:r>
          </w:p>
        </w:tc>
        <w:tc>
          <w:tcPr>
            <w:tcW w:w="17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(30,654</w:t>
            </w:r>
          </w:p>
        </w:tc>
        <w:tc>
          <w:tcPr>
            <w:tcW w:w="17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Total net assets of Martiangear</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160,981</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Goodwill</w:t>
            </w:r>
          </w:p>
        </w:tc>
        <w:tc>
          <w:tcPr>
            <w:tcW w:w="9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674,367</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to the identifiable intangible assets acquired and liabilities assumed based on their acquisition date estimated fair values. The identifiable intangible assets principally included trademark and license, with estimated useful lives of 7.45 years and 0.82 year, respectively, based on the expected future economic benefit of the assets and are being amortized over the estimated useful life in proportion to the economic benefits consumed using the straight-line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the assistance of a third-party appraiser, assessed the fair value of the 100% equity interest, and identifiable intangible assets acquired, in Martiangear through using income approach based on a number of factors including in the valuations from the third-party appraiser. The significant assumptions being used by the Company include revenue forecast and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licenses and trademarks was estimated using a relief-from-royalty method. This method calculates fair value by assuming that if the licenses and trademarks were to be acquired from third-party owners, a royalty rate on revenue would be charged for the privilege of using the assets. Consequently, the fair value of the licenses and trademarks represents the present value of the after-tax royalties saved as a result of owning the legal right to utilize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is not deductible for income tax purposes and is related primarily to the expected synergies from combining the operations into the Company’s business operation in console game.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Acquisition of Ban Leong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2025, Epicsoft Asia made a voluntary conditional cash offer to acquire 100% of the issued shares of Ban Leong at an offer price of SGD $0.6029 per share (approximately US$0.4580). The total offer consideration (“Offer Consideration”) was approximately US$50.5 million, which was financed through a secured term loan facility from Hongkong and Shanghai Banking Corporation Limited, Singapore Branch (the “HSBC term loan facility”) and the Company’s cash on hand. The HSBC term loan facility is secured by all assets of GCL Global SG, has a term of five years, bears a floating interest rate ranging from 2.5% to 7.5%, and requires quarterly repayments, with the final installment due in May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became effective on May 27, 2025 (“Acquisition Date”), when Epicsoft Asia received valid acceptances representing approximately 50.9% of Ban Leong’s total issued share capital, at which time the Company obtained control of Ban Leong and the business combination was deemed consummated. Purchase consideration of approximately US$25,716,146 was utilized on the Acquisition Date to acquire this controlling equity interest. The remaining portion of the total Offer Consideration was subsequently utilized to acquire the remaining equity interests in Ban Leong as additional acceptances were received following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Epicsoft Asia announced the successful close of its voluntary unconditional cash offer, having received valid acceptances for 104,122,998 ordinary shares, representing 96.59% of Ban Leong’s total issued share capital. As acceptances exceeded 90%, Epicsoft Asia exercised its right of compulsory acquisition under the Companies Act 1967 of Singapore. Ban Leong was officially delisted from the SGX-ST effective August 26, 2025. As of March 31, 2026, Ban Leong is a wholly-owned subsidiary of Epicsoft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 Leong is a leading Singapore-based distributor of IT hardware, gaming components, and smart technology, with operations across Singapore, Malaysia, and Thailand. Ban Leong serves as an authorized distributor for major brands such as Razer, NVIDIA, and Samsung. The acquisition aligns with the Company’s strategy to expand its bundled gaming product offerings and enhance its distribution network in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acquisition of Ban Leong was accounted for as a business combination in accordance with ASC 805. The Company has allocated the purchase price of Ban Leong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FASB using the fair value approach. Management of the Company is responsible for determining the fair value of assets acquired, liabilities assumed, and intangible assets identified as of the acquisition date. Acquisition-related costs incurred for the acquisitions are not material and have been expensed as incurred 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acquisition of Ban Leong was significant based on assessments using the income test, asset test, and investment test pursuant to S-X Rule 3-05. Pursuant to ASC 805-10-50-2 (h). the unaudited pro forma information of the Company for the year ended March 31, 2026 set forth below gives effect to the business combination as if it had occurred on April 1, 2025 and combines the results of operations of the Company since then. The unaudited pro forma information is presented after applying the Company’s accounting policies and elimination intra-entity transactions, as applicable. The unaudited pro forma information does not include any impact of transaction synergies and is presented for informational purposes only and is not necessarily indicative of the results of operations that would actually have been occurred had the business combination been consummated as of that time or that may result in the future:</w:t>
      </w:r>
    </w:p>
    <w:p>
      <w:pPr>
        <w:pStyle w:val="TextBody"/>
        <w:bidi w:val="0"/>
        <w:spacing w:before="0" w:after="0"/>
        <w:ind w:left="0" w:right="0" w:hanging="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710"/>
        <w:gridCol w:w="90"/>
        <w:gridCol w:w="280"/>
        <w:gridCol w:w="2064"/>
        <w:gridCol w:w="125"/>
        <w:gridCol w:w="90"/>
        <w:gridCol w:w="280"/>
        <w:gridCol w:w="2064"/>
        <w:gridCol w:w="135"/>
      </w:tblGrid>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b/>
              </w:rPr>
            </w:pPr>
            <w:r>
              <w:rPr>
                <w:b/>
              </w:rPr>
              <w:t>For the</w:t>
              <w:br/>
              <w:t>Year ended 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b/>
              </w:rPr>
            </w:pPr>
            <w:r>
              <w:rPr>
                <w:b/>
              </w:rPr>
              <w:t>For the</w:t>
              <w:br/>
              <w:t>Year ended March 31,</w:t>
            </w:r>
          </w:p>
        </w:tc>
        <w:tc>
          <w:tcPr>
            <w:tcW w:w="13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Unaudited pro forma revenue</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2064" w:type="dxa"/>
            <w:tcBorders/>
            <w:shd w:fill="CCEEFF" w:val="clear"/>
            <w:vAlign w:val="center"/>
          </w:tcPr>
          <w:p>
            <w:pPr>
              <w:pStyle w:val="TableContents"/>
              <w:bidi w:val="0"/>
              <w:spacing w:before="0" w:after="283"/>
              <w:jc w:val="right"/>
              <w:rPr/>
            </w:pPr>
            <w:r>
              <w:rPr/>
              <w:t>264,536,604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2064" w:type="dxa"/>
            <w:tcBorders/>
            <w:shd w:fill="CCEEFF" w:val="clear"/>
            <w:vAlign w:val="center"/>
          </w:tcPr>
          <w:p>
            <w:pPr>
              <w:pStyle w:val="TableContents"/>
              <w:bidi w:val="0"/>
              <w:spacing w:before="0" w:after="283"/>
              <w:jc w:val="right"/>
              <w:rPr/>
            </w:pPr>
            <w:r>
              <w:rPr/>
              <w:t>286,786,289</w:t>
            </w:r>
          </w:p>
        </w:tc>
        <w:tc>
          <w:tcPr>
            <w:tcW w:w="13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Unaudited pro forma net (loss) income</w:t>
            </w:r>
          </w:p>
        </w:tc>
        <w:tc>
          <w:tcPr>
            <w:tcW w:w="9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w:t>
            </w:r>
          </w:p>
        </w:tc>
        <w:tc>
          <w:tcPr>
            <w:tcW w:w="2064" w:type="dxa"/>
            <w:tcBorders/>
            <w:shd w:fill="FFFFFF" w:val="clear"/>
            <w:vAlign w:val="center"/>
          </w:tcPr>
          <w:p>
            <w:pPr>
              <w:pStyle w:val="TableContents"/>
              <w:bidi w:val="0"/>
              <w:spacing w:before="0" w:after="283"/>
              <w:jc w:val="right"/>
              <w:rPr/>
            </w:pPr>
            <w:r>
              <w:rPr/>
              <w:t>(12,840,524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w:t>
            </w:r>
          </w:p>
        </w:tc>
        <w:tc>
          <w:tcPr>
            <w:tcW w:w="2064" w:type="dxa"/>
            <w:tcBorders/>
            <w:shd w:fill="FFFFFF" w:val="clear"/>
            <w:vAlign w:val="center"/>
          </w:tcPr>
          <w:p>
            <w:pPr>
              <w:pStyle w:val="TableContents"/>
              <w:bidi w:val="0"/>
              <w:spacing w:before="0" w:after="283"/>
              <w:jc w:val="right"/>
              <w:rPr/>
            </w:pPr>
            <w:r>
              <w:rPr/>
              <w:t>8,083,117</w:t>
            </w:r>
          </w:p>
        </w:tc>
        <w:tc>
          <w:tcPr>
            <w:tcW w:w="13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Cash consideration</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20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2064" w:type="dxa"/>
            <w:tcBorders/>
            <w:shd w:fill="CCEEFF" w:val="clear"/>
            <w:vAlign w:val="center"/>
          </w:tcPr>
          <w:p>
            <w:pPr>
              <w:pStyle w:val="TableContents"/>
              <w:bidi w:val="0"/>
              <w:spacing w:before="0" w:after="283"/>
              <w:jc w:val="right"/>
              <w:rPr/>
            </w:pPr>
            <w:r>
              <w:rPr/>
              <w:t>25,716,146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assets acquired and liabilities assumed at the Acquisition Date, which represents the net purchase price allocation at the date of the acquisition of Ban Leong:</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4295"/>
        <w:gridCol w:w="90"/>
        <w:gridCol w:w="170"/>
        <w:gridCol w:w="1205"/>
        <w:gridCol w:w="170"/>
      </w:tblGrid>
      <w:tr>
        <w:trPr/>
        <w:tc>
          <w:tcPr>
            <w:tcW w:w="42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as of</w:t>
              <w:br/>
              <w:t>Acquisition</w:t>
              <w:br/>
              <w:t>Date</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25,716,146</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non-controlling interest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27,070,012</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net assets of Ban Leong: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11,311,600</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15,642,759</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Inventories,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25,604,539</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Other receivable and other current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1,125,378</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Investment in convertible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2,597,253</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Prepayments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426,720</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487,217</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Operating leases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2,253,549</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5,039,150</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Deferred tax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27,431</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64,515,596</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Bank Loans, current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(442,852</w:t>
            </w:r>
          </w:p>
        </w:tc>
        <w:tc>
          <w:tcPr>
            <w:tcW w:w="17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(11,691,291</w:t>
            </w:r>
          </w:p>
        </w:tc>
        <w:tc>
          <w:tcPr>
            <w:tcW w:w="17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(2,281,716</w:t>
            </w:r>
          </w:p>
        </w:tc>
        <w:tc>
          <w:tcPr>
            <w:tcW w:w="17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both"/>
              <w:rPr/>
            </w:pPr>
            <w:r>
              <w:rPr/>
              <w:t>Other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(4,742,439</w:t>
            </w:r>
          </w:p>
        </w:tc>
        <w:tc>
          <w:tcPr>
            <w:tcW w:w="17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(520,926</w:t>
            </w:r>
          </w:p>
        </w:tc>
        <w:tc>
          <w:tcPr>
            <w:tcW w:w="17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both"/>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(907,047</w:t>
            </w:r>
          </w:p>
        </w:tc>
        <w:tc>
          <w:tcPr>
            <w:tcW w:w="17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Tax payables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(504,360</w:t>
            </w:r>
          </w:p>
        </w:tc>
        <w:tc>
          <w:tcPr>
            <w:tcW w:w="17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both"/>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(21,090,631</w:t>
            </w:r>
          </w:p>
        </w:tc>
        <w:tc>
          <w:tcPr>
            <w:tcW w:w="17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net assets of Ban Leong</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43,424,965</w:t>
            </w:r>
          </w:p>
        </w:tc>
        <w:tc>
          <w:tcPr>
            <w:tcW w:w="17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9,361,193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to the identifiable intangible assets acquired and liabilities assumed based on their acquisition date estimated fair values. The identifiable intangible assets principally included customer relationships, with estimated useful lives of 10 years based on the expected future economic benefit of the assets and are being amortized over the estimated useful life in proportion to the economic benefits consumed using the straight-line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the assistance of a third-party appraiser, assessed the fair value of the 100% equity interest, identifiable intangible assets acquired, and non-controlling interest in Ban Leong through using income approach based on the following factors: (a) assumptions on the market and the asset that are considered to be fair and reasonable; (b) financial performance that shows a consistent trend of the operation; (c) consideration and analysis on the micro and macro economy affecting the subject asset; (d) analysis on tactical planning, management standard and synergy of the subject assets; (e) analytical review of the subject asset; and (f) assessment of the leverage and liquidity of the subject asset. The significant assumption being used by the Company includes financial forecast, discount rate and attribution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Ban Leong was a publicly listed company on the Singapore Exchange on the Acquisition Date, the fair value of the non-controlling interest was determined based on the observable offer price per share under the voluntary cash offer, which represents a quoted price in an orderly transaction. As the fair value measurement is based on observable market inputs, it is classified as a Level 1 fair value measurement under ASC 820.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client relationships was estimated using a multi-period excess earnings method. To calculate fair value, the Company estimated the attribution rate and used cash flows discounted at a rate considered appropriate given the inherent risks associated with each client grouping.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is not deductible for income tax purposes and is related primarily to the expected synergies from combining the operations into the Company’s business operation in console game.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Investment in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was issued on December 30, 2022, by an unrelated privately held company and earned fixed interest at 6% per annum. The convertible note may be converted in part or in whole at the Company’s discretion within 36 months from the issuance date. The convertible note matured on December 29, 2025. Upon maturity, the Company initiated the conversion process; For the year ended March 31, 2026, the Company recognized interest income of $20,189 based on the interest rate of the convertible note. For the year ended March 31, 2026, no impairment was recorded from investment in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electing the fair value option, the embedded conversion feature is not separately bifurcated or accounted for as a derivative. Instead, the fair value of the instrument as a whole captures the economic effect the embedded features. Upon the acquisition of Ban Leong, the investment in convertible note was recognized at its acquisition-date fair value of $2,597,253. Immediately before the February 20, 2026 (the “Conversion Date”), the fair value of investment in convertible note was $1,406,625.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 in convertible note on February 20, 2026 was estimated using a combination of an Equity Allocation ("EA") model to determine the as-converted value and a Discounted Cash Flow ("DCF") model to determine the kept-as-debt value. The fair value was determined as the higher of the estimated value upon conversion and the value upon repayment at the valuation date. Significant assumptions used in the valuation included an estimated post-money equity value of approximately $19.6 million, expected exit scenario probabilities of 45% for redemption, 45% for liquidation and 10% for a qualified initial public offering, an expected term of 5.0 years, an expected volatility of 48.5%, and a risk-free interest rate of 3.7%. The fair value measurement was classified as a Level 3 measurement within the fair value hierarchy due to the use of significant unobservable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are recognized in earnings in the period in which they occur. Loss from changes in fair value amounted to $1,188,928 for the period from May 27, 2025 through Conversion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accounting treatment best reflects the economic substance of the investment and aligns with the way the instrument is managed and evaluated internally.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convertible note was $1,000,000 as of March 31, 2026. The excess fair value over principal reflects the estimated value of the embedded equity conversion feature.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Conversion Date, the outstanding principal and accrued interest under the convertible note were converted into Series Seed-3 Preference Shares of MyFirst Tech Holdings Pte. Ltd (“MyFirst Tech”). As a result of the conversion, the convertible note was derecognized and replaced with an equity investment in a privately held company. The initial carrying amount of the investment in MyFirst Tech’s Series Seed-3 Preference Shares was established based on the fair value of the convertible note immediately prior to conversion, which equaled its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long-term investments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230"/>
        <w:gridCol w:w="90"/>
        <w:gridCol w:w="170"/>
        <w:gridCol w:w="1130"/>
        <w:gridCol w:w="90"/>
        <w:gridCol w:w="90"/>
        <w:gridCol w:w="170"/>
        <w:gridCol w:w="1130"/>
        <w:gridCol w:w="135"/>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Investment in Nekcom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15,364,229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15,364,229</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Investment in MyFirst Tech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1,406,625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Investment in Cloudshelf Limited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71,045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71,045</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16,841,899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15,435,274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Nekcom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the Company, Nekcom and certain significant shareholders of Nekcom entered into a Series B Preferred Stock Purchase Agreement (the “Nekcom SPA”) pursuant to which the Company has agreed to purchase 12,250,000 shares of Nekcom’s Series B Preferred Stock that would constitute 20% of the total outstanding shares of Nekcom for an aggregate purchase price of $15,000,000 consisting of (a) $7,500,000 in cash, and (b) $7,500,000 in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Nekcom SPA, 262,325 ordinary shares of GCL Global (the “Nekcom Consideration Shares”) and an additional 262,325 ordinary shares of GCL Global (the “Nekcom Additional Consideration Shares”) were issued in the name of Nekcom on December 18, 2024 but were held in escrow until full recoupment date of the minimum guarantee pursuant to a Publishing Agreement dated December 18, 2024 (see Note 23) when they will be released to either Nekcom or the Company depending on the value of Nekcom Consideration Shares (the “Consideration Shares VWAP”) based on the volume weighted average price of the Consideration Shares over thirty (30) trading days immediately preceding the full recoupment date. If the Consideration Shares VWAP exceeds $7,500,000, all Nekcom Consideration Shares will be released to Nekcom, and all Nekcom Additional Consideration Shares will be returned to the Company for cancellation. In the event that the Consideration Shares VWAP is below $7,500,000 but exceeds $1,200,000, Nekcom will receive such number of Nekcom Additional Consideration Shares from the escrow account that would make up the shortfall, with the balance returned to the Company for cancellation. If the value of the Nekcom Additional Consideration Shares so released from the escrow account is not sufficient to make up the shortfall, the Company has agreed to either pay Nekcom cash to make up the shortfall, or issue additional shares to Nekcom and use its reasonable best efforts to register such shares for resale. If the Consideration Shares VWAP is below $1,200,000, the Company has agreed to pay Nekcom the shortfall between $7,500,000 and the Consideration Shares VWAP in cash. Upon completion of the Business Combination on February 13, 2025, the Nekcom Consideration Shares and the Nekcom Additional Consideration Shares were exchanged for an aggregate of 2,126,729 of ordinary shares of the Company, all of which were held in escrow (see Note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parties amended the Nekcom SPA (the “First Amendment”) to provide that, among other things, the Company shall have the right to instruct the escrow agent to return to the Company the full amount of the Nekcom Consideration Shares if either (i) the Company has not recouped in full both the minimum guarantee (as defined in the Publishing Agreement) and its investments related to SHOWA American Story (the “Licensed Game”) as specified in the First Amendment within 12 months of the commercial launch of the Licensed Game; or (ii) the Licensed Game has not been commercially launched on or before December 31, 2026. In that case, the Company shall be required to return to Nekcom 10% of the equity interests of Nekcom issued to the Company pursuant to the Nekcom SPA.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remitted $7,500,000 cash consideration towards investment in Nekcom’s Series B preferred Share. However, the Nekcom Consideration Shares and Nekcom Additional Consideration Share are being held in escrow yet to be released as the contingency of recoupment of the minimum guarantee has not yet been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Nekcom’s Series B Preferred Shares are classified as equity securities but do not meet the criteria to be considered in-substance common stock under ASC 323-10-15-13. These shares possess substantive liquidation preferences, fixed returns, and conditional participation rights that distinguish them from common stock. Consequently, the Nekcom investment is not accounted for under the equity method. As a result, the investment Nekcom’s Series B Preferred Shares does not qualify for equity method accounting under ASC 323 and is instead accounted for under ASC 321 as an equity investment to measure it at cost, with subsequent remeasurement to fair value only upon impairment or when there are observable prince changes in orderly transactions for identical or similarly investments. As of the acquisition date, the $7,500,000 cash consideration, $364,229 acquisition cost, and $7,500,000 share consideration were determined to be included in the initial investment cost. The Company will assess the impairment as subsequent measurement. As of March 31, 2026, no impairment was recorded against investment in Nekcom.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2026, an accredited investor, entered into a share purchase agreement with the Company to acquire 306,250 Series B Preferred Shares of Nekcom for a total purchase price of $1,000,000, with closing to occur no later than April 30, 2026. Pursuant to the share purchase agreement, it features a put option allowing the buyer to sell the shares back to the Company at two times the purchase price within six months following the official launch of Nekcom’s game, </w:t>
      </w:r>
      <w:r>
        <w:rPr>
          <w:rFonts w:ascii="Times New Roman;Times;Serif" w:hAnsi="Times New Roman;Times;Serif"/>
          <w:b w:val="false"/>
          <w:i/>
          <w:caps w:val="false"/>
          <w:smallCaps w:val="false"/>
          <w:sz w:val="20"/>
        </w:rPr>
        <w:t>Showa the American Story</w:t>
      </w:r>
      <w:r>
        <w:rPr>
          <w:rFonts w:ascii="Times New Roman;Times;Serif" w:hAnsi="Times New Roman;Times;Serif"/>
          <w:b w:val="false"/>
          <w:i w:val="false"/>
          <w:caps w:val="false"/>
          <w:smallCaps w:val="false"/>
          <w:sz w:val="20"/>
        </w:rPr>
        <w:t>. Additionally, if the game fails to launch by June 30, 2028, the buyer holds a Mandatory Buyback right, enabling it to require the Company to repurchase the entire investment interest by December 31, 2028, at the original purchase price plus a 10% per annum compound interest rate. As of March 31, 2026, the transaction has not been closed yet.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MyFirst 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5, the Company converted its investment in a convertible note into 1,484,049 Series Seed-3 Preference Shares of MyFirst Tech pursuant to a Series A financing transaction completed by MyFirst Tech. Upon completion of the conversion, the Company’s contractual rights under the convertible note were extinguished and replaced by an ownership interest in MyFirst Tech. Accordingly, the Company derecognized the convertible note and recognized an equity investment in MyFirst Tech. The initial carrying amount of the Series Seed-3 Preference Shares was established based on the carrying amount of the convertible note immediately prior to conversion, which equaled its fair value as a result of the Company’s election of the fair value option under ASC 825. Following the conversion, the Company held approximately 12.98% of the equity interests of MyFirst Tech.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accounting for the Series Seed-3 Preference Shares received upon conversion and concluded that the investment represents an equity security within the scope of ASC 321. Although the Company holds approximately 12.98% of the equity interests of MyFirst Tech, the Series Seed-3 Preference Shares do not qualify as in-substance common stock under ASC 323-10-15-13 because they possess substantive liquidation preferences, preferential economic rights, conversion rights, anti-dilution protections, and other investor rights that are not substantially similar to those of ordinary shares. Accordingly, the investment does not qualify for equity method accounting under ASC 323.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Series Seed-3 Preference Shares do not have a readily determinable fair value and MyFirst Tech is a privately held company, the Company elected the measurement alternative under ASC 321-10-35-2. Under this measurement alternative, the investment is measured at cost, less impairment, adjusted for observable price changes resulting from orderly transactions involving identical or similar investments of the same issuer. The initial carrying amount of the investment was determined based on the fair value of the convertible note immediately prior to the Conversion Date (Note 5). The Company evaluates the investment for impairment and observable price changes at each reporting date. As of March 31, 2026, no impairment loss was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Investment in Cloudshelf Limited (“Cloudshelf”)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2022, the Company entered into a subscription and shareholders agreement with Cloudshelf, a private limited company incorporated in England and Wales. Pursuant to the agreement, the Company subscribed for ordinary shares in Cloudshelf for a total consideration of $71,045, representing a 13.5% equity interest of Cloushelf.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does not have significant influence over Cloudshelf, the investment is accounted for in accordance with ASC 321, The investment is measured at cost, with subsequent remeasurement to fair value only upon impairment or when there are observable prince changes in orderly transactions for identical or similarly investments. As of March 31, 2026, no impairment indicators were identified, and no loss was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accounts receivables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0"/>
        <w:gridCol w:w="90"/>
        <w:gridCol w:w="170"/>
        <w:gridCol w:w="1130"/>
        <w:gridCol w:w="125"/>
        <w:gridCol w:w="90"/>
        <w:gridCol w:w="170"/>
        <w:gridCol w:w="1130"/>
        <w:gridCol w:w="170"/>
      </w:tblGrid>
      <w:tr>
        <w:trPr/>
        <w:tc>
          <w:tcPr>
            <w:tcW w:w="7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130" w:type="dxa"/>
            <w:tcBorders/>
            <w:shd w:fill="CCEEFF" w:val="clear"/>
            <w:vAlign w:val="center"/>
          </w:tcPr>
          <w:p>
            <w:pPr>
              <w:pStyle w:val="TableContents"/>
              <w:bidi w:val="0"/>
              <w:spacing w:before="0" w:after="283"/>
              <w:jc w:val="left"/>
              <w:rPr/>
            </w:pPr>
            <w:r>
              <w:rPr/>
              <w:t>Receivables from console game, gaming hardware, computer accessories and other multimedia products, and console game code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37,285,373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23,121,281</w:t>
            </w:r>
          </w:p>
        </w:tc>
        <w:tc>
          <w:tcPr>
            <w:tcW w:w="17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Receivables from game publishing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507,494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2,604,231</w:t>
            </w:r>
          </w:p>
        </w:tc>
        <w:tc>
          <w:tcPr>
            <w:tcW w:w="17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Receivables from advertising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205,024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285,127</w:t>
            </w:r>
          </w:p>
        </w:tc>
        <w:tc>
          <w:tcPr>
            <w:tcW w:w="17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Less: Allowance for credit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(1,343,107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(248,956</w:t>
            </w:r>
          </w:p>
        </w:tc>
        <w:tc>
          <w:tcPr>
            <w:tcW w:w="170" w:type="dxa"/>
            <w:tcBorders/>
            <w:shd w:fill="FFFFFF" w:val="clear"/>
            <w:vAlign w:val="center"/>
          </w:tcPr>
          <w:p>
            <w:pPr>
              <w:pStyle w:val="TableContents"/>
              <w:bidi w:val="0"/>
              <w:spacing w:before="0" w:after="283"/>
              <w:jc w:val="left"/>
              <w:rPr/>
            </w:pPr>
            <w:r>
              <w:rPr/>
              <w:t>)</w:t>
            </w:r>
          </w:p>
        </w:tc>
      </w:tr>
      <w:tr>
        <w:trPr/>
        <w:tc>
          <w:tcPr>
            <w:tcW w:w="713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36,654,784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25,761,683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credit loss for the years ended March 31, 2026,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5555"/>
        <w:gridCol w:w="90"/>
        <w:gridCol w:w="170"/>
        <w:gridCol w:w="1010"/>
        <w:gridCol w:w="90"/>
        <w:gridCol w:w="90"/>
        <w:gridCol w:w="186"/>
        <w:gridCol w:w="913"/>
        <w:gridCol w:w="125"/>
        <w:gridCol w:w="90"/>
        <w:gridCol w:w="186"/>
        <w:gridCol w:w="913"/>
        <w:gridCol w:w="170"/>
      </w:tblGrid>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248,956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325,457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55,533</w:t>
            </w:r>
          </w:p>
        </w:tc>
        <w:tc>
          <w:tcPr>
            <w:tcW w:w="17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Credit loss carried forward from acquisition of Ban Leong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164,672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Addition (Recovery)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924,961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(76,725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277,273</w:t>
            </w:r>
          </w:p>
        </w:tc>
        <w:tc>
          <w:tcPr>
            <w:tcW w:w="17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Translation adjustment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4,518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224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(7,349</w:t>
            </w:r>
          </w:p>
        </w:tc>
        <w:tc>
          <w:tcPr>
            <w:tcW w:w="170" w:type="dxa"/>
            <w:tcBorders/>
            <w:shd w:fill="FFFFFF" w:val="clear"/>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Ending balance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1,343,107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248,956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325,457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lower of cost or net realizable value, which is determined using the weighted average method.</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4085"/>
        <w:gridCol w:w="90"/>
        <w:gridCol w:w="170"/>
        <w:gridCol w:w="1130"/>
        <w:gridCol w:w="90"/>
        <w:gridCol w:w="90"/>
        <w:gridCol w:w="170"/>
        <w:gridCol w:w="1010"/>
        <w:gridCol w:w="135"/>
      </w:tblGrid>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Physical console game compact discs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6,566,820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5,936,223</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IT hardware, computer accessories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25,842,304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Gaming hardware and accessories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b/>
              </w:rPr>
            </w:pPr>
            <w:r>
              <w:rPr>
                <w:b/>
              </w:rPr>
              <w:t>Total inventories and digital inventories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32,416,453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5,936,223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March 31, 2026, 2025 and 2024, the impairment for inventories amounted to $172,282, $211,356 and $468,941,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Other receivables and other current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other receivables and other current assets, net comprised of the following:</w:t>
      </w:r>
    </w:p>
    <w:p>
      <w:pPr>
        <w:pStyle w:val="TextBody"/>
        <w:bidi w:val="0"/>
        <w:spacing w:before="0" w:after="0"/>
        <w:ind w:left="0" w:right="0" w:firstLine="36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315"/>
        <w:gridCol w:w="90"/>
        <w:gridCol w:w="170"/>
        <w:gridCol w:w="1010"/>
        <w:gridCol w:w="125"/>
        <w:gridCol w:w="90"/>
        <w:gridCol w:w="170"/>
        <w:gridCol w:w="1010"/>
        <w:gridCol w:w="170"/>
      </w:tblGrid>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Deposits (i)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610,813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273,041</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Prepaid expenses (ii)</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730,627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1,122,403</w:t>
            </w:r>
          </w:p>
        </w:tc>
        <w:tc>
          <w:tcPr>
            <w:tcW w:w="17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Prepaid income tax (iii)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1,812</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Right-of-return assets (vi)</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257,301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GST recoverable (iv)</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110,657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209,880</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receivables (v)</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1,018,696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153,809</w:t>
            </w:r>
          </w:p>
        </w:tc>
        <w:tc>
          <w:tcPr>
            <w:tcW w:w="17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Less: allowance for credit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(149,739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(27,923</w:t>
            </w:r>
          </w:p>
        </w:tc>
        <w:tc>
          <w:tcPr>
            <w:tcW w:w="170" w:type="dxa"/>
            <w:tcBorders/>
            <w:shd w:fill="CCEEFF" w:val="clear"/>
            <w:vAlign w:val="center"/>
          </w:tcPr>
          <w:p>
            <w:pPr>
              <w:pStyle w:val="TableContents"/>
              <w:bidi w:val="0"/>
              <w:spacing w:before="0" w:after="283"/>
              <w:jc w:val="left"/>
              <w:rPr/>
            </w:pPr>
            <w:r>
              <w:rPr/>
              <w:t>)</w:t>
            </w:r>
          </w:p>
        </w:tc>
      </w:tr>
      <w:tr>
        <w:trPr/>
        <w:tc>
          <w:tcPr>
            <w:tcW w:w="5315" w:type="dxa"/>
            <w:tcBorders/>
            <w:shd w:fill="FFFFFF" w:val="clear"/>
            <w:vAlign w:val="center"/>
          </w:tcPr>
          <w:p>
            <w:pPr>
              <w:pStyle w:val="TableContents"/>
              <w:bidi w:val="0"/>
              <w:spacing w:before="0" w:after="283"/>
              <w:jc w:val="left"/>
              <w:rPr>
                <w:b/>
              </w:rPr>
            </w:pPr>
            <w:r>
              <w:rPr>
                <w:b/>
              </w:rPr>
              <w:t>Total other receivables and other current assets, net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2,654,096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1,733,022</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45"/>
        <w:gridCol w:w="80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8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Deposits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deposits mainly comprised deposits made for rental and utility service of the Company.</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305"/>
        <w:gridCol w:w="1520"/>
      </w:tblGrid>
      <w:tr>
        <w:trPr/>
        <w:tc>
          <w:tcPr>
            <w:tcW w:w="3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15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Prepaid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prepaid expenses represented prepayment for services, such as subscription fees, advertising expenses, and director &amp; officer insurance.</w:t>
      </w:r>
    </w:p>
    <w:p>
      <w:pPr>
        <w:pStyle w:val="TextBody"/>
        <w:bidi w:val="0"/>
        <w:spacing w:before="0" w:after="0"/>
        <w:ind w:left="0" w:right="0" w:hanging="0"/>
        <w:jc w:val="center"/>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65"/>
        <w:gridCol w:w="1685"/>
      </w:tblGrid>
      <w:tr>
        <w:trPr/>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(iii)</w:t>
            </w:r>
          </w:p>
        </w:tc>
        <w:tc>
          <w:tcPr>
            <w:tcW w:w="16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Prepaid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prepaid income tax represents prepaid estimated income tax from the Company’s Thailand subsidiary.</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(iv)</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GST recoverable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GST recoverable represented the amount of GST, which resulted from historical purchasing activities and could be further used for deducting future GST in Singapore.</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w:t>
            </w:r>
          </w:p>
        </w:tc>
        <w:tc>
          <w:tcPr>
            <w:tcW w:w="15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receivables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other receivables mainly represented balance due from vendor for marketing expense paid on behalf, and recoverable claims receivable from suppliers.</w:t>
      </w:r>
    </w:p>
    <w:p>
      <w:pPr>
        <w:pStyle w:val="TextBody"/>
        <w:bidi w:val="0"/>
        <w:spacing w:before="0" w:after="0"/>
        <w:ind w:left="36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w:t>
            </w:r>
          </w:p>
        </w:tc>
        <w:tc>
          <w:tcPr>
            <w:tcW w:w="19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Right- of- return assets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right-of-return assets primarily represents amounts recognized in connection with Company’s product return arrangements from hardware, computer accessories and other multi- media products and reflects the estimated recovery of inventory expected to be returned by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credit loss for the years ended March 31, 2026,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6162" w:type="dxa"/>
        <w:jc w:val="left"/>
        <w:tblInd w:w="0" w:type="dxa"/>
        <w:tblLayout w:type="fixed"/>
        <w:tblCellMar>
          <w:top w:w="0" w:type="dxa"/>
          <w:left w:w="0" w:type="dxa"/>
          <w:bottom w:w="0" w:type="dxa"/>
          <w:right w:w="0" w:type="dxa"/>
        </w:tblCellMar>
      </w:tblPr>
      <w:tblGrid>
        <w:gridCol w:w="2210"/>
        <w:gridCol w:w="90"/>
        <w:gridCol w:w="186"/>
        <w:gridCol w:w="913"/>
        <w:gridCol w:w="90"/>
        <w:gridCol w:w="90"/>
        <w:gridCol w:w="195"/>
        <w:gridCol w:w="904"/>
        <w:gridCol w:w="125"/>
        <w:gridCol w:w="90"/>
        <w:gridCol w:w="211"/>
        <w:gridCol w:w="888"/>
        <w:gridCol w:w="170"/>
      </w:tblGrid>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27,923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52,949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3,747</w:t>
            </w:r>
          </w:p>
        </w:tc>
        <w:tc>
          <w:tcPr>
            <w:tcW w:w="17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Addition (Recovery)</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121,781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(24,093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49,351</w:t>
            </w:r>
          </w:p>
        </w:tc>
        <w:tc>
          <w:tcPr>
            <w:tcW w:w="17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(933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(149</w:t>
            </w:r>
          </w:p>
        </w:tc>
        <w:tc>
          <w:tcPr>
            <w:tcW w:w="170" w:type="dxa"/>
            <w:tcBorders/>
            <w:shd w:fill="CCEEFF" w:val="clear"/>
            <w:vAlign w:val="center"/>
          </w:tcPr>
          <w:p>
            <w:pPr>
              <w:pStyle w:val="TableContents"/>
              <w:bidi w:val="0"/>
              <w:spacing w:before="0" w:after="283"/>
              <w:jc w:val="left"/>
              <w:rPr/>
            </w:pPr>
            <w:r>
              <w:rPr/>
              <w:t>)</w:t>
            </w:r>
          </w:p>
        </w:tc>
      </w:tr>
      <w:tr>
        <w:trPr/>
        <w:tc>
          <w:tcPr>
            <w:tcW w:w="2210" w:type="dxa"/>
            <w:tcBorders/>
            <w:shd w:fill="FFFFFF" w:val="clear"/>
            <w:vAlign w:val="center"/>
          </w:tcPr>
          <w:p>
            <w:pPr>
              <w:pStyle w:val="TableContents"/>
              <w:bidi w:val="0"/>
              <w:spacing w:before="0" w:after="283"/>
              <w:jc w:val="left"/>
              <w:rPr/>
            </w:pPr>
            <w:r>
              <w:rPr/>
              <w:t>Ending balance</w:t>
            </w:r>
          </w:p>
        </w:tc>
        <w:tc>
          <w:tcPr>
            <w:tcW w:w="9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149,739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27,923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52,949</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Prepayments, net</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3080"/>
        <w:gridCol w:w="90"/>
        <w:gridCol w:w="170"/>
        <w:gridCol w:w="1130"/>
        <w:gridCol w:w="125"/>
        <w:gridCol w:w="90"/>
        <w:gridCol w:w="170"/>
        <w:gridCol w:w="1010"/>
        <w:gridCol w:w="170"/>
      </w:tblGrid>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Prepayment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14,155,014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6,354,653</w:t>
            </w:r>
          </w:p>
        </w:tc>
        <w:tc>
          <w:tcPr>
            <w:tcW w:w="17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Less: allowance for prepayment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(286,098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(114,792</w:t>
            </w:r>
          </w:p>
        </w:tc>
        <w:tc>
          <w:tcPr>
            <w:tcW w:w="17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b/>
              </w:rPr>
            </w:pPr>
            <w:r>
              <w:rPr>
                <w:b/>
              </w:rPr>
              <w:t>Total prepayments,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13,868,916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6,239,861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credit loss for the years ended March 31, 2026, 2025 and 2024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62" w:type="dxa"/>
        <w:jc w:val="left"/>
        <w:tblInd w:w="0" w:type="dxa"/>
        <w:tblLayout w:type="fixed"/>
        <w:tblCellMar>
          <w:top w:w="0" w:type="dxa"/>
          <w:left w:w="0" w:type="dxa"/>
          <w:bottom w:w="0" w:type="dxa"/>
          <w:right w:w="0" w:type="dxa"/>
        </w:tblCellMar>
      </w:tblPr>
      <w:tblGrid>
        <w:gridCol w:w="2210"/>
        <w:gridCol w:w="90"/>
        <w:gridCol w:w="186"/>
        <w:gridCol w:w="913"/>
        <w:gridCol w:w="125"/>
        <w:gridCol w:w="90"/>
        <w:gridCol w:w="186"/>
        <w:gridCol w:w="913"/>
        <w:gridCol w:w="125"/>
        <w:gridCol w:w="90"/>
        <w:gridCol w:w="186"/>
        <w:gridCol w:w="913"/>
        <w:gridCol w:w="135"/>
      </w:tblGrid>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114,792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209,412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51,755</w:t>
            </w:r>
          </w:p>
        </w:tc>
        <w:tc>
          <w:tcPr>
            <w:tcW w:w="13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Addition (Recovery)</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171,450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(94,786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157,623</w:t>
            </w:r>
          </w:p>
        </w:tc>
        <w:tc>
          <w:tcPr>
            <w:tcW w:w="13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13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Ending balance</w:t>
            </w:r>
          </w:p>
        </w:tc>
        <w:tc>
          <w:tcPr>
            <w:tcW w:w="9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286,098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114,792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209,412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Loan to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to third party consist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14"/>
        <w:gridCol w:w="90"/>
        <w:gridCol w:w="3208"/>
        <w:gridCol w:w="90"/>
        <w:gridCol w:w="2397"/>
        <w:gridCol w:w="90"/>
        <w:gridCol w:w="187"/>
        <w:gridCol w:w="913"/>
        <w:gridCol w:w="90"/>
        <w:gridCol w:w="90"/>
        <w:gridCol w:w="187"/>
        <w:gridCol w:w="913"/>
        <w:gridCol w:w="136"/>
      </w:tblGrid>
      <w:tr>
        <w:trPr/>
        <w:tc>
          <w:tcPr>
            <w:tcW w:w="1814" w:type="dxa"/>
            <w:tcBorders>
              <w:bottom w:val="single" w:sz="12" w:space="0" w:color="000000"/>
            </w:tcBorders>
            <w:vAlign w:val="center"/>
          </w:tcPr>
          <w:p>
            <w:pPr>
              <w:pStyle w:val="TableContents"/>
              <w:bidi w:val="0"/>
              <w:spacing w:before="0" w:after="283"/>
              <w:jc w:val="left"/>
              <w:rPr>
                <w:b/>
              </w:rPr>
            </w:pPr>
            <w:r>
              <w:rPr>
                <w:b/>
              </w:rPr>
              <w:t>Name of third party*</w:t>
            </w:r>
          </w:p>
        </w:tc>
        <w:tc>
          <w:tcPr>
            <w:tcW w:w="90" w:type="dxa"/>
            <w:tcBorders/>
            <w:tcMar>
              <w:bottom w:w="0" w:type="dxa"/>
            </w:tcMar>
            <w:vAlign w:val="center"/>
          </w:tcPr>
          <w:p>
            <w:pPr>
              <w:pStyle w:val="TableContents"/>
              <w:bidi w:val="0"/>
              <w:spacing w:before="0" w:after="283"/>
              <w:jc w:val="left"/>
              <w:rPr/>
            </w:pPr>
            <w:r>
              <w:rPr/>
              <w:t> </w:t>
            </w:r>
          </w:p>
        </w:tc>
        <w:tc>
          <w:tcPr>
            <w:tcW w:w="3208" w:type="dxa"/>
            <w:tcBorders>
              <w:bottom w:val="single" w:sz="12" w:space="0" w:color="000000"/>
            </w:tcBorders>
            <w:vAlign w:val="center"/>
          </w:tcPr>
          <w:p>
            <w:pPr>
              <w:pStyle w:val="TableContents"/>
              <w:bidi w:val="0"/>
              <w:spacing w:before="0" w:after="283"/>
              <w:jc w:val="center"/>
              <w:rPr>
                <w:b/>
              </w:rPr>
            </w:pPr>
            <w:r>
              <w:rPr>
                <w:b/>
              </w:rPr>
              <w:t>Maturities</w:t>
            </w:r>
          </w:p>
        </w:tc>
        <w:tc>
          <w:tcPr>
            <w:tcW w:w="90" w:type="dxa"/>
            <w:tcBorders/>
            <w:tcMar>
              <w:bottom w:w="0" w:type="dxa"/>
            </w:tcMar>
            <w:vAlign w:val="center"/>
          </w:tcPr>
          <w:p>
            <w:pPr>
              <w:pStyle w:val="TableContents"/>
              <w:bidi w:val="0"/>
              <w:spacing w:before="0" w:after="283"/>
              <w:jc w:val="left"/>
              <w:rPr/>
            </w:pPr>
            <w:r>
              <w:rPr/>
              <w:t> </w:t>
            </w:r>
          </w:p>
        </w:tc>
        <w:tc>
          <w:tcPr>
            <w:tcW w:w="2397" w:type="dxa"/>
            <w:tcBorders>
              <w:bottom w:val="single" w:sz="12" w:space="0" w:color="000000"/>
            </w:tcBorders>
            <w:vAlign w:val="center"/>
          </w:tcPr>
          <w:p>
            <w:pPr>
              <w:pStyle w:val="TableContents"/>
              <w:bidi w:val="0"/>
              <w:spacing w:before="0" w:after="283"/>
              <w:jc w:val="center"/>
              <w:rPr>
                <w:b/>
              </w:rPr>
            </w:pPr>
            <w:r>
              <w:rPr>
                <w:b/>
              </w:rPr>
              <w:t>Interest Rate</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As of</w:t>
              <w:br/>
              <w:t>March 31,</w:t>
              <w:br/>
              <w:t>2025</w:t>
            </w:r>
          </w:p>
        </w:tc>
        <w:tc>
          <w:tcPr>
            <w:tcW w:w="136" w:type="dxa"/>
            <w:tcBorders/>
            <w:tcMar>
              <w:bottom w:w="0" w:type="dxa"/>
            </w:tcMar>
            <w:vAlign w:val="center"/>
          </w:tcPr>
          <w:p>
            <w:pPr>
              <w:pStyle w:val="TableContents"/>
              <w:bidi w:val="0"/>
              <w:spacing w:before="0" w:after="283"/>
              <w:jc w:val="left"/>
              <w:rPr/>
            </w:pPr>
            <w:r>
              <w:rPr/>
              <w:t> </w:t>
            </w:r>
          </w:p>
        </w:tc>
      </w:tr>
      <w:tr>
        <w:trPr/>
        <w:tc>
          <w:tcPr>
            <w:tcW w:w="1814"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20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39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center"/>
              <w:rPr/>
            </w:pPr>
            <w:r>
              <w:rPr/>
              <w:t> </w:t>
            </w:r>
          </w:p>
        </w:tc>
        <w:tc>
          <w:tcPr>
            <w:tcW w:w="136" w:type="dxa"/>
            <w:tcBorders/>
            <w:tcMar>
              <w:bottom w:w="0" w:type="dxa"/>
            </w:tcMar>
            <w:vAlign w:val="center"/>
          </w:tcPr>
          <w:p>
            <w:pPr>
              <w:pStyle w:val="TableContents"/>
              <w:bidi w:val="0"/>
              <w:spacing w:before="0" w:after="283"/>
              <w:jc w:val="left"/>
              <w:rPr/>
            </w:pPr>
            <w:r>
              <w:rPr/>
              <w:t> </w:t>
            </w:r>
          </w:p>
        </w:tc>
      </w:tr>
      <w:tr>
        <w:trPr/>
        <w:tc>
          <w:tcPr>
            <w:tcW w:w="1814" w:type="dxa"/>
            <w:tcBorders/>
            <w:shd w:fill="CCEEFF" w:val="clear"/>
            <w:tcMar>
              <w:bottom w:w="0" w:type="dxa"/>
            </w:tcMar>
            <w:vAlign w:val="center"/>
          </w:tcPr>
          <w:p>
            <w:pPr>
              <w:pStyle w:val="TableContents"/>
              <w:bidi w:val="0"/>
              <w:spacing w:before="0" w:after="283"/>
              <w:jc w:val="left"/>
              <w:rPr/>
            </w:pPr>
            <w:r>
              <w:rPr/>
              <w:t>2Game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8" w:type="dxa"/>
            <w:tcBorders/>
            <w:shd w:fill="CCEEFF" w:val="clear"/>
            <w:tcMar>
              <w:bottom w:w="0" w:type="dxa"/>
            </w:tcMar>
            <w:vAlign w:val="center"/>
          </w:tcPr>
          <w:p>
            <w:pPr>
              <w:pStyle w:val="TableContents"/>
              <w:bidi w:val="0"/>
              <w:spacing w:before="0" w:after="283"/>
              <w:jc w:val="center"/>
              <w:rPr/>
            </w:pPr>
            <w:r>
              <w:rPr/>
              <w:t>Amount to be due on September 30,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7" w:type="dxa"/>
            <w:tcBorders/>
            <w:shd w:fill="CCEEFF" w:val="clear"/>
            <w:tcMar>
              <w:bottom w:w="0" w:type="dxa"/>
            </w:tcMar>
            <w:vAlign w:val="center"/>
          </w:tcPr>
          <w:p>
            <w:pPr>
              <w:pStyle w:val="TableContents"/>
              <w:bidi w:val="0"/>
              <w:spacing w:before="0" w:after="283"/>
              <w:jc w:val="center"/>
              <w:rPr/>
            </w:pPr>
            <w:r>
              <w:rPr/>
              <w:t>10% started from April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913" w:type="dxa"/>
            <w:tcBorders>
              <w:bottom w:val="single" w:sz="12" w:space="0" w:color="000000"/>
            </w:tcBorders>
            <w:shd w:fill="CCEEFF" w:val="clear"/>
            <w:vAlign w:val="center"/>
          </w:tcPr>
          <w:p>
            <w:pPr>
              <w:pStyle w:val="TableContents"/>
              <w:bidi w:val="0"/>
              <w:spacing w:before="0" w:after="283"/>
              <w:jc w:val="right"/>
              <w:rPr/>
            </w:pPr>
            <w:r>
              <w:rPr/>
              <w:t>678,204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913" w:type="dxa"/>
            <w:tcBorders>
              <w:bottom w:val="single" w:sz="12" w:space="0" w:color="000000"/>
            </w:tcBorders>
            <w:shd w:fill="CCEEFF" w:val="clear"/>
            <w:vAlign w:val="center"/>
          </w:tcPr>
          <w:p>
            <w:pPr>
              <w:pStyle w:val="TableContents"/>
              <w:bidi w:val="0"/>
              <w:spacing w:before="0" w:after="283"/>
              <w:jc w:val="right"/>
              <w:rPr/>
            </w:pPr>
            <w:r>
              <w:rPr/>
              <w:t>382,024</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1814"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08"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97"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vAlign w:val="center"/>
          </w:tcPr>
          <w:p>
            <w:pPr>
              <w:pStyle w:val="TableContents"/>
              <w:bidi w:val="0"/>
              <w:spacing w:before="0" w:after="283"/>
              <w:jc w:val="right"/>
              <w:rPr>
                <w:b/>
              </w:rPr>
            </w:pPr>
            <w:r>
              <w:rPr>
                <w:b/>
              </w:rPr>
              <w:t>678,204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vAlign w:val="center"/>
          </w:tcPr>
          <w:p>
            <w:pPr>
              <w:pStyle w:val="TableContents"/>
              <w:bidi w:val="0"/>
              <w:spacing w:before="0" w:after="283"/>
              <w:jc w:val="right"/>
              <w:rPr>
                <w:b/>
              </w:rPr>
            </w:pPr>
            <w:r>
              <w:rPr>
                <w:b/>
              </w:rPr>
              <w:t>382,024</w:t>
            </w:r>
          </w:p>
        </w:tc>
        <w:tc>
          <w:tcPr>
            <w:tcW w:w="13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LLC is an e-sports company engaged in digital gaming and online tournament operations. In order to promote 2Game’s platform and create potential business synergies between both parties, the Company provided a loan to 2Game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3590"/>
        <w:gridCol w:w="90"/>
        <w:gridCol w:w="170"/>
        <w:gridCol w:w="1085"/>
        <w:gridCol w:w="125"/>
        <w:gridCol w:w="90"/>
        <w:gridCol w:w="170"/>
        <w:gridCol w:w="1085"/>
        <w:gridCol w:w="170"/>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3,458,060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1,003,594</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Motor vehicle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759,063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Furniture &amp; Fitting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306,004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70,563</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Office and warehouse renovation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974,051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455,313</w:t>
            </w:r>
          </w:p>
        </w:tc>
        <w:tc>
          <w:tcPr>
            <w:tcW w:w="17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b/>
              </w:rPr>
            </w:pPr>
            <w:r>
              <w:rPr>
                <w:b/>
              </w:rPr>
              <w:t>Subtotal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5,497,178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1,529,470</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Less: accumulated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(3,872,578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(1,149,155</w:t>
            </w:r>
          </w:p>
        </w:tc>
        <w:tc>
          <w:tcPr>
            <w:tcW w:w="17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left"/>
              <w:rPr>
                <w:b/>
              </w:rPr>
            </w:pPr>
            <w:r>
              <w:rPr>
                <w:b/>
              </w:rPr>
              <w:t>Total 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1,624,600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380,315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March 31, 2026, 2025 and 2024 amounted to $406,830, $328,948 and $320,308, respectively. The Company recognized loss from disposal of property and equipment of $512, nil and $57,202 for the years ended March 31, 2026,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Definite-lived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Definite-lived intangible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3110"/>
        <w:gridCol w:w="90"/>
        <w:gridCol w:w="155"/>
        <w:gridCol w:w="935"/>
        <w:gridCol w:w="110"/>
        <w:gridCol w:w="90"/>
        <w:gridCol w:w="155"/>
        <w:gridCol w:w="935"/>
        <w:gridCol w:w="155"/>
      </w:tblGrid>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15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9,633,962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4,594,812</w:t>
            </w:r>
          </w:p>
        </w:tc>
        <w:tc>
          <w:tcPr>
            <w:tcW w:w="15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139,865</w:t>
            </w:r>
          </w:p>
        </w:tc>
        <w:tc>
          <w:tcPr>
            <w:tcW w:w="15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224,809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224,809</w:t>
            </w:r>
          </w:p>
        </w:tc>
        <w:tc>
          <w:tcPr>
            <w:tcW w:w="15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amortization</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(3,851,746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(2,751,634</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definite-lived intangible assets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6,146,890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2,207,852</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years ended March 31, 2026, 2025 and 2024 amounted to $1,100,112, $1,065,373 and $1,168,358,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amortization expense for the next five years ending:</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4415"/>
        <w:gridCol w:w="90"/>
        <w:gridCol w:w="179"/>
        <w:gridCol w:w="1011"/>
        <w:gridCol w:w="135"/>
      </w:tblGrid>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w:t>
            </w:r>
          </w:p>
        </w:tc>
        <w:tc>
          <w:tcPr>
            <w:tcW w:w="13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expenses</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Twelve months ending March 31, 2027</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1,670,018</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Twelve months ending March 31, 2028</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558,381</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Twelve months ending March 31, 2029</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726,164</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Twelve months ending March 31, 2030</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881,848</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Twelve months ending March 31, 2031 and thereafter</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2,310,479</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90" w:type="dxa"/>
            <w:tcBorders/>
            <w:vAlign w:val="center"/>
          </w:tcPr>
          <w:p>
            <w:pPr>
              <w:pStyle w:val="TableContents"/>
              <w:bidi w:val="0"/>
              <w:spacing w:before="0" w:after="283"/>
              <w:jc w:val="left"/>
              <w:rPr/>
            </w:pPr>
            <w:r>
              <w:rPr/>
              <w:t> </w:t>
            </w:r>
          </w:p>
        </w:tc>
        <w:tc>
          <w:tcPr>
            <w:tcW w:w="179"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6,146,890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Bank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balance of banking facilities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7"/>
        <w:gridCol w:w="90"/>
        <w:gridCol w:w="1768"/>
        <w:gridCol w:w="90"/>
        <w:gridCol w:w="90"/>
        <w:gridCol w:w="779"/>
        <w:gridCol w:w="245"/>
        <w:gridCol w:w="90"/>
        <w:gridCol w:w="2648"/>
        <w:gridCol w:w="90"/>
        <w:gridCol w:w="170"/>
        <w:gridCol w:w="1130"/>
        <w:gridCol w:w="90"/>
        <w:gridCol w:w="90"/>
        <w:gridCol w:w="170"/>
        <w:gridCol w:w="1130"/>
        <w:gridCol w:w="138"/>
      </w:tblGrid>
      <w:tr>
        <w:trPr/>
        <w:tc>
          <w:tcPr>
            <w:tcW w:w="1397" w:type="dxa"/>
            <w:tcBorders>
              <w:bottom w:val="single" w:sz="12" w:space="0" w:color="000000"/>
            </w:tcBorders>
            <w:vAlign w:val="center"/>
          </w:tcPr>
          <w:p>
            <w:pPr>
              <w:pStyle w:val="TableContents"/>
              <w:bidi w:val="0"/>
              <w:spacing w:before="0" w:after="283"/>
              <w:jc w:val="left"/>
              <w:rPr>
                <w:b/>
              </w:rPr>
            </w:pPr>
            <w:r>
              <w:rPr>
                <w:b/>
              </w:rPr>
              <w:t>Bank name</w:t>
            </w:r>
          </w:p>
        </w:tc>
        <w:tc>
          <w:tcPr>
            <w:tcW w:w="90" w:type="dxa"/>
            <w:tcBorders/>
            <w:tcMar>
              <w:bottom w:w="0" w:type="dxa"/>
            </w:tcMar>
            <w:vAlign w:val="center"/>
          </w:tcPr>
          <w:p>
            <w:pPr>
              <w:pStyle w:val="TableContents"/>
              <w:bidi w:val="0"/>
              <w:spacing w:before="0" w:after="283"/>
              <w:jc w:val="left"/>
              <w:rPr/>
            </w:pPr>
            <w:r>
              <w:rPr/>
              <w:t> </w:t>
            </w:r>
          </w:p>
        </w:tc>
        <w:tc>
          <w:tcPr>
            <w:tcW w:w="1768"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90" w:type="dxa"/>
            <w:tcBorders/>
            <w:tcMar>
              <w:bottom w:w="0" w:type="dxa"/>
            </w:tcMar>
            <w:vAlign w:val="center"/>
          </w:tcPr>
          <w:p>
            <w:pPr>
              <w:pStyle w:val="TableContents"/>
              <w:bidi w:val="0"/>
              <w:spacing w:before="0" w:after="283"/>
              <w:jc w:val="left"/>
              <w:rPr/>
            </w:pPr>
            <w:r>
              <w:rPr/>
              <w:t> </w:t>
            </w:r>
          </w:p>
        </w:tc>
        <w:tc>
          <w:tcPr>
            <w:tcW w:w="869" w:type="dxa"/>
            <w:gridSpan w:val="2"/>
            <w:tcBorders>
              <w:bottom w:val="single" w:sz="12" w:space="0" w:color="000000"/>
            </w:tcBorders>
            <w:vAlign w:val="center"/>
          </w:tcPr>
          <w:p>
            <w:pPr>
              <w:pStyle w:val="TableContents"/>
              <w:bidi w:val="0"/>
              <w:spacing w:before="0" w:after="283"/>
              <w:jc w:val="center"/>
              <w:rPr>
                <w:b/>
              </w:rPr>
            </w:pPr>
            <w:r>
              <w:rPr>
                <w:b/>
              </w:rPr>
              <w:t xml:space="preserve">Interest </w:t>
              <w:br/>
              <w:t>rate</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48" w:type="dxa"/>
            <w:tcBorders>
              <w:bottom w:val="single" w:sz="12" w:space="0" w:color="000000"/>
            </w:tcBorders>
            <w:vAlign w:val="center"/>
          </w:tcPr>
          <w:p>
            <w:pPr>
              <w:pStyle w:val="TableContents"/>
              <w:bidi w:val="0"/>
              <w:spacing w:before="0" w:after="283"/>
              <w:jc w:val="center"/>
              <w:rPr>
                <w:b/>
              </w:rPr>
            </w:pPr>
            <w:r>
              <w:rPr>
                <w:b/>
              </w:rPr>
              <w:t>Collateral/Guarantee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138" w:type="dxa"/>
            <w:tcBorders/>
            <w:tcMar>
              <w:bottom w:w="0" w:type="dxa"/>
            </w:tcMar>
            <w:vAlign w:val="center"/>
          </w:tcPr>
          <w:p>
            <w:pPr>
              <w:pStyle w:val="TableContents"/>
              <w:bidi w:val="0"/>
              <w:spacing w:before="0" w:after="283"/>
              <w:jc w:val="left"/>
              <w:rPr/>
            </w:pPr>
            <w:r>
              <w:rPr/>
              <w:t> </w:t>
            </w:r>
          </w:p>
        </w:tc>
      </w:tr>
      <w:tr>
        <w:trPr/>
        <w:tc>
          <w:tcPr>
            <w:tcW w:w="139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69" w:type="dxa"/>
            <w:gridSpan w:val="2"/>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4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138" w:type="dxa"/>
            <w:tcBorders/>
            <w:tcMar>
              <w:bottom w:w="0" w:type="dxa"/>
            </w:tcMar>
            <w:vAlign w:val="center"/>
          </w:tcPr>
          <w:p>
            <w:pPr>
              <w:pStyle w:val="TableContents"/>
              <w:bidi w:val="0"/>
              <w:spacing w:before="0" w:after="283"/>
              <w:ind w:left="0" w:right="0" w:hanging="180"/>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pPr>
            <w:r>
              <w:rPr/>
              <w:t>United Overseas Bank Limited (“UOB”)</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 xml:space="preserve">July 2025 </w:t>
              <w:br/>
              <w:t>(Repaid in</w:t>
              <w:br/>
              <w:t>July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pPr>
            <w:r>
              <w:rPr/>
              <w:t>2.5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Personal Guarantee by Choo See Wee, the Chairman of the Company, and GCL BVI.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283"/>
              <w:jc w:val="right"/>
              <w:rPr/>
            </w:pPr>
            <w:r>
              <w:rPr/>
              <w:t>209,633</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pPr>
            <w:r>
              <w:rPr/>
              <w:t>Green Link Digital Bank Pte.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December 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pPr>
            <w:r>
              <w:rPr/>
              <w:t>7.35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 xml:space="preserve">Guaranteed by GCL Global Holdings Ltd. and GCL Global SG </w:t>
              <w:br/>
              <w:t>Collateral by fixed deposit in bank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283"/>
              <w:jc w:val="right"/>
              <w:rPr/>
            </w:pPr>
            <w:r>
              <w:rPr/>
              <w:t>1,686,555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0"/>
              <w:jc w:val="right"/>
              <w:rPr/>
            </w:pPr>
            <w:r>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pPr>
            <w:r>
              <w:rPr/>
              <w:t>Citi Bank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October 2025 to December 2025 (Repaid in December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3.40%-6.14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Personal Guarantee by Choo See Wee, the Chairman of the Company. Collateral by fixed deposit in bank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283"/>
              <w:jc w:val="right"/>
              <w:rPr/>
            </w:pPr>
            <w:r>
              <w:rPr/>
              <w:t>2,738,728</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pPr>
            <w:r>
              <w:rPr/>
              <w:t>HSBC Bank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April 2026 to</w:t>
              <w:br/>
              <w:t>June 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2.78%-5.54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Personal Guarantee by Choo See Wee, the Chairman of the Company. Collateral by fixed deposit in bank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283"/>
              <w:jc w:val="right"/>
              <w:rPr/>
            </w:pPr>
            <w:r>
              <w:rPr/>
              <w:t>7,566,619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283"/>
              <w:jc w:val="right"/>
              <w:rPr/>
            </w:pPr>
            <w:r>
              <w:rPr/>
              <w:t>6,015,053</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pPr>
            <w:r>
              <w:rPr/>
              <w:t>HSBC Bank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May 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3.74%-4.25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Personal Guarantee by GCL Global Holdings Ltd. Collateral by fixed deposit in bank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283"/>
              <w:jc w:val="right"/>
              <w:rPr/>
            </w:pPr>
            <w:r>
              <w:rPr/>
              <w:t>36,822,683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pPr>
            <w:r>
              <w:rPr/>
              <w:t>HSBC Bank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 xml:space="preserve">April 2026 to </w:t>
              <w:br/>
              <w:t>May 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pPr>
            <w:r>
              <w:rPr/>
              <w:t>4.22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Guaranteed by Ban Leong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283"/>
              <w:jc w:val="right"/>
              <w:rPr/>
            </w:pPr>
            <w:r>
              <w:rPr/>
              <w:t>426,091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0"/>
              <w:jc w:val="right"/>
              <w:rPr/>
            </w:pPr>
            <w:r>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pPr>
            <w:r>
              <w:rPr/>
              <w:t>HSBC Loan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February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pPr>
            <w:r>
              <w:rPr/>
              <w:t>6.33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Personal Guarantee by Choo See Wee, the Chairman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283"/>
              <w:jc w:val="right"/>
              <w:rPr/>
            </w:pPr>
            <w:r>
              <w:rPr/>
              <w:t>1,375,000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right"/>
              <w:rPr/>
            </w:pPr>
            <w:r>
              <w:rPr/>
              <w:t> </w:t>
            </w:r>
          </w:p>
        </w:tc>
        <w:tc>
          <w:tcPr>
            <w:tcW w:w="1130" w:type="dxa"/>
            <w:tcBorders/>
            <w:shd w:fill="CCEEFF" w:val="clear"/>
            <w:tcMar>
              <w:bottom w:w="0" w:type="dxa"/>
            </w:tcMar>
            <w:vAlign w:val="center"/>
          </w:tcPr>
          <w:p>
            <w:pPr>
              <w:pStyle w:val="TableContents"/>
              <w:bidi w:val="0"/>
              <w:spacing w:before="0" w:after="283"/>
              <w:jc w:val="right"/>
              <w:rPr/>
            </w:pPr>
            <w:r>
              <w:rPr/>
              <w:t>2,875,000</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pPr>
            <w:r>
              <w:rPr/>
              <w:t>HSBC Bank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 xml:space="preserve">April 2026 to </w:t>
              <w:br/>
              <w:t>May 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2.80%-2.86</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None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283"/>
              <w:jc w:val="right"/>
              <w:rPr/>
            </w:pPr>
            <w:r>
              <w:rPr/>
              <w:t>6,055,822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right"/>
              <w:rPr/>
            </w:pPr>
            <w:r>
              <w:rPr/>
              <w:t> </w:t>
            </w:r>
          </w:p>
        </w:tc>
        <w:tc>
          <w:tcPr>
            <w:tcW w:w="1130" w:type="dxa"/>
            <w:tcBorders/>
            <w:shd w:fill="FFFFFF" w:val="clear"/>
            <w:tcMar>
              <w:bottom w:w="0" w:type="dxa"/>
            </w:tcMar>
            <w:vAlign w:val="center"/>
          </w:tcPr>
          <w:p>
            <w:pPr>
              <w:pStyle w:val="TableContents"/>
              <w:bidi w:val="0"/>
              <w:spacing w:before="0" w:after="0"/>
              <w:jc w:val="right"/>
              <w:rPr/>
            </w:pPr>
            <w:r>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pPr>
            <w:r>
              <w:rPr/>
              <w:t>DBS Bank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May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pPr>
            <w:r>
              <w:rPr/>
              <w:t>6.88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Personal Guarantee by Choo See Wee, the Chairman of the Company, and Tan Jian Hao, the CEO of Titan Digital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righ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47,860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righ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82,810</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53,980,630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11,921,224</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397" w:type="dxa"/>
            <w:tcBorders/>
            <w:shd w:fill="CCEEFF" w:val="clear"/>
            <w:tcMar>
              <w:bottom w:w="0" w:type="dxa"/>
            </w:tcMar>
            <w:vAlign w:val="center"/>
          </w:tcPr>
          <w:p>
            <w:pPr>
              <w:pStyle w:val="TableContents"/>
              <w:bidi w:val="0"/>
              <w:spacing w:before="0" w:after="283"/>
              <w:jc w:val="left"/>
              <w:rPr>
                <w:b/>
              </w:rPr>
            </w:pPr>
            <w:r>
              <w:rPr>
                <w:b/>
              </w:rPr>
              <w:t>Bank Loans, current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779"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CCEEFF" w:val="clear"/>
            <w:vAlign w:val="center"/>
          </w:tcPr>
          <w:p>
            <w:pPr>
              <w:pStyle w:val="TableContents"/>
              <w:bidi w:val="0"/>
              <w:spacing w:before="0" w:after="283"/>
              <w:jc w:val="right"/>
              <w:rPr>
                <w:b/>
              </w:rPr>
            </w:pPr>
            <w:r>
              <w:rPr>
                <w:b/>
              </w:rPr>
              <w:t>21,715,464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CCEEFF" w:val="clear"/>
            <w:vAlign w:val="center"/>
          </w:tcPr>
          <w:p>
            <w:pPr>
              <w:pStyle w:val="TableContents"/>
              <w:bidi w:val="0"/>
              <w:spacing w:before="0" w:after="283"/>
              <w:jc w:val="right"/>
              <w:rPr>
                <w:b/>
              </w:rPr>
            </w:pPr>
            <w:r>
              <w:rPr>
                <w:b/>
              </w:rPr>
              <w:t>10,500,085</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397" w:type="dxa"/>
            <w:tcBorders/>
            <w:shd w:fill="FFFFFF" w:val="clear"/>
            <w:tcMar>
              <w:bottom w:w="0" w:type="dxa"/>
            </w:tcMar>
            <w:vAlign w:val="center"/>
          </w:tcPr>
          <w:p>
            <w:pPr>
              <w:pStyle w:val="TableContents"/>
              <w:bidi w:val="0"/>
              <w:spacing w:before="0" w:after="283"/>
              <w:jc w:val="left"/>
              <w:rPr>
                <w:b/>
              </w:rPr>
            </w:pPr>
            <w:r>
              <w:rPr>
                <w:b/>
              </w:rPr>
              <w:t>Bank Loans, non-current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right"/>
              <w:rPr/>
            </w:pPr>
            <w:r>
              <w:rPr/>
              <w:t> </w:t>
            </w:r>
          </w:p>
        </w:tc>
        <w:tc>
          <w:tcPr>
            <w:tcW w:w="779"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32,265,166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right"/>
              <w:rPr>
                <w:b/>
              </w:rPr>
            </w:pPr>
            <w:r>
              <w:rPr>
                <w:b/>
              </w:rPr>
              <w:t>$</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1,421,139</w:t>
            </w:r>
          </w:p>
        </w:tc>
        <w:tc>
          <w:tcPr>
            <w:tcW w:w="13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 of Ban Leong (see Note 4) was financed through a secured term loan facility with The Hongkong and Shanghai Banking Corporation Limited (“HSBC”) and the Company’s cash on hand. The HSBC term loan facility is secured by all assets of GCL Global SG, has a tenure of five years, bears a floating interest rate ranging from 3.74% to 4.25%, and requires quarterly repayments, with the final installment due in May 2030. In addition, the Company incurred aggregate structuring fees of $593,297, which the Company determined to be debt issuance costs to be recorded as a reduction of the loan balance. These costs are amortized over the term of the loan facility using the effective interest method. As of March 31, 2026, the unamortized debt issuance costs related to the HSBC term loan facility amounted to $461,826.</w:t>
            </w:r>
          </w:p>
        </w:tc>
      </w:tr>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April 2024 to the date of the issuance of these consolidated financial statements, the Company obtained long term bank loans from HSBC Bank for an aggregate total of approximately $2.7 million to be due starting from February 2027. These bank loans bear interest rates per annum of 6.33%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expense pertained to above banking facilities for the years ended March 31, 2026, 2025 and 2024 were $1,988,260, $518,770 and $460,628, respectively. The weighted-average interest rate pertaining to above-mentioned bank loans, current were 4.1%, 6.2% and 7.1% for the years ended March 31,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Other payables and accrued liabilities</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4415"/>
        <w:gridCol w:w="90"/>
        <w:gridCol w:w="170"/>
        <w:gridCol w:w="1010"/>
        <w:gridCol w:w="90"/>
        <w:gridCol w:w="90"/>
        <w:gridCol w:w="170"/>
        <w:gridCol w:w="1010"/>
        <w:gridCol w:w="135"/>
      </w:tblGrid>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44"/>
              <w:jc w:val="left"/>
              <w:rPr/>
            </w:pPr>
            <w:r>
              <w:rPr/>
              <w:t> </w:t>
            </w:r>
          </w:p>
        </w:tc>
      </w:tr>
      <w:tr>
        <w:trPr/>
        <w:tc>
          <w:tcPr>
            <w:tcW w:w="4415" w:type="dxa"/>
            <w:tcBorders/>
            <w:shd w:fill="CCEEFF" w:val="clear"/>
            <w:vAlign w:val="center"/>
          </w:tcPr>
          <w:p>
            <w:pPr>
              <w:pStyle w:val="TableContents"/>
              <w:bidi w:val="0"/>
              <w:spacing w:before="0" w:after="283"/>
              <w:jc w:val="left"/>
              <w:rPr/>
            </w:pPr>
            <w:r>
              <w:rPr/>
              <w:t>Accrued payroll and welfare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1,660,410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127,473</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4415" w:type="dxa"/>
            <w:tcBorders/>
            <w:shd w:fill="FFFFFF" w:val="clear"/>
            <w:vAlign w:val="center"/>
          </w:tcPr>
          <w:p>
            <w:pPr>
              <w:pStyle w:val="TableContents"/>
              <w:bidi w:val="0"/>
              <w:spacing w:before="0" w:after="283"/>
              <w:jc w:val="left"/>
              <w:rPr/>
            </w:pPr>
            <w:r>
              <w:rPr/>
              <w:t>Accrued expenses (i)</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3,091,695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408,370</w:t>
            </w:r>
          </w:p>
        </w:tc>
        <w:tc>
          <w:tcPr>
            <w:tcW w:w="13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Other payables (ii)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4,941,140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1,666,948</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Refund liability (iv)</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278,879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Investment payable (iii)</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2,500,000</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4415" w:type="dxa"/>
            <w:tcBorders/>
            <w:shd w:fill="FFFFFF" w:val="clear"/>
            <w:vAlign w:val="center"/>
          </w:tcPr>
          <w:p>
            <w:pPr>
              <w:pStyle w:val="TableContents"/>
              <w:bidi w:val="0"/>
              <w:spacing w:before="0" w:after="283"/>
              <w:jc w:val="left"/>
              <w:rPr>
                <w:b/>
              </w:rPr>
            </w:pPr>
            <w:r>
              <w:rPr>
                <w:b/>
              </w:rPr>
              <w:t>Total accrued expenses and other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9,972,124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4,702,791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balance of accrued expenses represented accrued professional fee, lender fee and other miscellaneous fee.</w:t>
            </w:r>
          </w:p>
        </w:tc>
      </w:tr>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of other payables mainly consists of share subscription payable, advances from suppliers for support of future programs related to Ban Leong’s operation. In addition, the balance of other payables consists of the deposit received from a third party as co-publisher’s minimum guarantee in game development for game publishing operations. Such balance is recoupable by third parties upon certain minimum sales targets of the games achieved after the game’s launch.</w:t>
            </w:r>
          </w:p>
        </w:tc>
      </w:tr>
      <w:tr>
        <w:trPr/>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of investment payable relates to the Company’s investment in Nekcom, and consists of $2,500,000 in cash consideration, which the Company has paid during the year ended March 31, 2026.</w:t>
            </w:r>
          </w:p>
        </w:tc>
      </w:tr>
      <w:tr>
        <w:trPr/>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of refund liability primarily represents amounts recognized in connection with the Company’s product return arrangements and reflects the estimated recovery of inventory expected to be returned by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Convertible Notes and 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September 30, 2024 to December 2024, the Company, GCL Global, and Epicsoft Asia, entered into convertible note purchase agreements (the “Note Purchase Agreements”) with each of certain accredited investors (the “Transaction Investors”) pursuant to which the Transaction Investors have agreed to pay GCL Global an aggregate of $33,025,000 for certain convertible notes (the “Note”) which automatically converted into GCL Global’s fully paid and nonassessable ordinary shares that were exchanged for 7,338,887 shares of Merger Consideration Shares (as defined in the Merger Agreement) at $4.50 per share at the closing of the transactions (the “Conversion Date”) contemplated by the Merger Agreement (the “Business Combination”). The number of Merger Consideration Shares was determined based on the Exchange Ratio established in the Merger Agreement. Pursuant to the Note Purchase Agreements, an additional thirty percentage (30%) of the number of Merger Consideration Shares issued to the Transaction Investors (the “Bonus Shares”) were held in an escrow account for three (3) years from the Conversion Date. At the end of each of the first three anniversary dates of the Conversion Date (each such year, a “Bonus Year”), one-third (1/3) of the Bonus Shares was scheduled to be released from the escrow account to either the Transaction Investors or to the Company for cancellation, based on the number of Merger Consideration Shares held by the Transaction Investors at the end of each Bonus Year. In the event that the lowest volume-weighted average closing price of the Merger Consideration Shares is less than $4.50 per share for any ten(10) consecutive trading days during the last month prior to the third anniversary day of the Conversion Date, the Transaction Investors will be entitled to receive certain Top-Up Shares (defined in the Note Purchase Agreement) and, under certain limited circumstances, a cash payment, based on the number of Merger Consideration Shares held on the third anniversary date of the Business Combination. The Transaction Investors will be entitled to receive 110% of the outstanding principal balance of the Note in the event that the Business Combination is not consummated on or before March 28, 2025, or if the per share price used to the calculate the Exchange Ratio for the Business Combination is less than $10.00 per share. Epicsoft Asia has agreed to unconditionally guarantee all of the Company’s obligations and performance under $33,250,000 of the Note, including but not limited to the Company’s obligation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issuance costs in connection with these Notes amounted to $1,590,750 and were expensed in full on the issuance date, as the Company elected to account for the convertible notes at fair value under the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on February 13, 2025, the aggregate principal amount of the Notes, net of unamortized discount, amounted to $33,025,000 which was converted into 7,338,887 ordinary shares of the Company. In addition, 2,201,665 shares of the Company’s ordinary shares were issued and held in an escrow account for three years as the Bonus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convertible notes agreement under ASC 470 Debt (“ASC 470”), and ASC 815 Derivatives and Hedging (“ASC 815”). ASC 815 generally requires the analysis embedded terms and features that have characteristics of derivatives to be evaluated for bifurcation and separate accounting in instances where their economic risks and characteristics are not clearly and closely related to the risks of the host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measure the entire convertible note, including all embedded features, at fair value option under ASC 825 on the issuance date, with changes in fair value recognized through earnings until conversion. The fair value of the convertible notes was determined the same as its carrying value at issuance than reevaluated upon conversion by using a scenario-based probability-weighted approach for the conversion and bonus share components and a Monte Carlo simulation model for the top-up share feature. Subsequently, the component of fair value changes relating to the instrument specific credit risk of the convertible note is minimal. Key assumptions included stock price volatility, share price at measurement dates, risk-free rate, and the expected holding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the convertible notes automatically converted into equity, and the related embedded features were detached and re-evaluated. The bonus share provision was determined to be clearly and closely related to equity and was not bifurcated. However, the Top-Up Shares feature was determined to be derivative liabilities under ASC 815-40, as it is not considered indexed to the Company’s own stock due to variable settlement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Top-Up Shares liabilities were measured at fair value on the conversion date and at each subsequent reporting date until settlement, with changes in fair value recognized in the consolidated statements of operations and comprehensive (loss). The fair value of the Top-Up Shares liability is determined using unobservable inputs and a Monte Carlo simulation model. Key assumptions include the Company’s stock price volatility, the price floor, the expected holding period, and the risk-free discount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12, 2025, immediately prior to the conversion upon completion of the Business Combination, the fair value of the convertible notes was allocated to (i) conversion feature of $22,377,734, (ii) bonus share component of $2,685,327, and (iii) top-up share feature of $2,707,836. As of March 31, 2026 and 2025, the fair value of the top-up share feature was remeasured to $16,206,000 and $3,086,519, respectively. The fair value of the conversion and bonus share components was estimated using a scenario-based probability-weighted approach, while the top-up share feature was valued using a Monte Carlo simulation model based on 10,000 simulated price paths. Valuation assumptions included stock prices of $3.05, $1.95 and $0.59 as of February 12, 2025, March 31, 2025 and March 31, 2026, respectively, a volatility assumption of 60%, risk-free rates of 4.4%, 3.9%, and 3.9% and an expected holding period of three years. The fair value measurement of the Top-Up Shares represents Level 3 inputs under the fair value hierarchy due to the use of unobservable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Senior Unsecured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2025 and August 2025, the Company issued senior unsecured notes (“Senior Unsecured Notes”) with an aggregate principal amount of $5,430,000 to an investor pursuant to a Securities Purchase Agreement. The Company received aggregate net cash proceeds of $4,717,000 from the issuance of the Senior Unsecured Notes. The Senior Unsecured Notes bear interest at 6% per annum, which increases to 18% upon an event of default, and mature three years from their respective issuance dates unless earlier converted, redeemed, or accelerated. Interest is payable monthly in arrears and is generally settled in ordinary shares of the Company, subject to the satisfaction of specified equity conditions, although the Company may elect to pay interest in cash or a combination of cash and shares. Upon maturity, the Company is required to repay all outstanding principal, accrued and unpaid interest, and any applicable charges in cash. The Senior Unsecured Notes are not freely prepayable except under specified circumstances, including optional redemptions, change of control, or events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Unsecured Notes are convertible at the holder’s option at any time after issuance into the Company’s ordinary shares at a conversion price of $2.16 per share, subject to adjustments. The conversion amount generally equals 110% of the principal converted, plus accrued and unpaid interest and late charges. In addition, the agreements provide the investor with the right to purchase additional notes up to an aggregate principal amount of $40.1 million under similar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an aggregate principal amount of $1,278,999 of the Company’s convertible notes, together with accrued interest payable of $10,041 and the derivative liability associated with the conversion feature of $1,502,937, were converted into 2,645,024 ordinary shares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features of the Senior Unsecured Notes in accordance with ASC 470, ASC 815 and ASC 825. Based on this evaluation, the embedded conversion feature is required to be bifurcated from the host debt instrument and accounted for separately as a derivative liability. The conversion feature is not considered clearly and closely related to the debt host and meets the definition of a derivative under ASC 815. In addition, the Senior Unsecured Notes are not otherwise measured at fair value through earnings, and the conversion feature does not qualify for the scope exception for instruments indexed to the Company’s own stock due to variable-priced settlement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conversion feature is initially measured at fair value and recorded as a derivative liability, with subsequent changes in fair value recognized in earnings in the period in which they occur. The redemption feature was determined to be clearly and closely related to the debt host and, therefore, does not require separate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Company allocated the proceeds between the conversion feature derivative liability and the host debt using an allocation approach consistent with the measurement basis of each component. The conversion feature derivative liability was recorded at its fair value, with the residual proceeds attributed to the host debt. The fair value of the conversion feature was determined using a binomial valuation model applied to the convertible notes, with the host debt valued separately using a discounted cash flow model. Key assumptions include the Company’s stock price, expected volatility, conversion price and floor price, contractual term of the notes, and the risk-free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of the Senior Unsecured Notes, the fair value of the conversion feature from the Senior Unsecured Notes amounted to $$2,923,000. As of March 31, 2026, the fair value of the conversion feature was remeasured to $495,000 which has classified as derivative liabilities. Valuation assumptions as of the issuance date included stock prices of $2.64 to $3.53, a volatility assumption of 1% to 56.07%, risk-free rates of 3.49 %to 3.94%. Valuation assumptions as March 31, 2026 included stock prices of $0.59, a volatility assumption of 56.60%, risk-free rates of 3.86%. The fair value measurement of the conversion feature represents Level 3 inputs under the fair value hierarchy due to the use of unobservable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and issuance costs were allocated between the derivative liability and the host debt on a relative fair value basis, with the portion attributable to the derivative liability expensed as incurred and the portion attributable to the host debt recorded as a reduction of the carrying amount of the debt and amortized to interest expense over the term of the Senior Unsecured Notes using the effective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convertible notes, net of unamortized discounts as follows:</w:t>
      </w:r>
    </w:p>
    <w:p>
      <w:pPr>
        <w:pStyle w:val="TextBody"/>
        <w:bidi w:val="0"/>
        <w:spacing w:before="0" w:after="0"/>
        <w:ind w:left="0" w:right="0" w:firstLine="360"/>
        <w:jc w:val="both"/>
        <w:rPr>
          <w:caps w:val="false"/>
          <w:smallCaps w:val="false"/>
        </w:rPr>
      </w:pPr>
      <w:r>
        <w:rPr>
          <w:caps w:val="false"/>
          <w:smallCaps w:val="false"/>
        </w:rPr>
        <w:t> </w:t>
      </w:r>
    </w:p>
    <w:tbl>
      <w:tblPr>
        <w:tblW w:w="9323" w:type="dxa"/>
        <w:jc w:val="left"/>
        <w:tblInd w:w="0" w:type="dxa"/>
        <w:tblLayout w:type="fixed"/>
        <w:tblCellMar>
          <w:top w:w="0" w:type="dxa"/>
          <w:left w:w="0" w:type="dxa"/>
          <w:bottom w:w="0" w:type="dxa"/>
          <w:right w:w="0" w:type="dxa"/>
        </w:tblCellMar>
      </w:tblPr>
      <w:tblGrid>
        <w:gridCol w:w="4040"/>
        <w:gridCol w:w="90"/>
        <w:gridCol w:w="170"/>
        <w:gridCol w:w="1085"/>
        <w:gridCol w:w="125"/>
        <w:gridCol w:w="90"/>
        <w:gridCol w:w="237"/>
        <w:gridCol w:w="1267"/>
        <w:gridCol w:w="125"/>
        <w:gridCol w:w="90"/>
        <w:gridCol w:w="247"/>
        <w:gridCol w:w="1587"/>
        <w:gridCol w:w="170"/>
      </w:tblGrid>
      <w:tr>
        <w:trPr/>
        <w:tc>
          <w:tcPr>
            <w:tcW w:w="4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Face</w:t>
              <w:br/>
              <w:t>value of</w:t>
              <w:br/>
              <w:t>convertible</w:t>
              <w:br/>
              <w:t>notes </w:t>
              <w:br/>
              <w:t>payable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 discounts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Convertible notes</w:t>
              <w:br/>
              <w:t>payable,</w:t>
              <w:br/>
              <w:t>net of</w:t>
              <w:br/>
              <w:t>unamortized</w:t>
              <w:br/>
              <w:t>discounts</w:t>
            </w:r>
          </w:p>
        </w:tc>
        <w:tc>
          <w:tcPr>
            <w:tcW w:w="17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Issuance of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5,430,000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(333,757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5,096,243</w:t>
            </w:r>
          </w:p>
        </w:tc>
        <w:tc>
          <w:tcPr>
            <w:tcW w:w="17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Fair value allocation of conversion feature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(2,923,000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(2,923,000</w:t>
            </w:r>
          </w:p>
        </w:tc>
        <w:tc>
          <w:tcPr>
            <w:tcW w:w="17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Amortization of debt discounts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123,285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123,285</w:t>
            </w:r>
          </w:p>
        </w:tc>
        <w:tc>
          <w:tcPr>
            <w:tcW w:w="17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Conversion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(1,278,999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FFFFFF" w:val="clear"/>
            <w:tcMar>
              <w:bottom w:w="28" w:type="dxa"/>
            </w:tcMar>
            <w:vAlign w:val="center"/>
          </w:tcPr>
          <w:p>
            <w:pPr>
              <w:pStyle w:val="TableContents"/>
              <w:bidi w:val="0"/>
              <w:spacing w:before="0" w:after="283"/>
              <w:jc w:val="right"/>
              <w:rPr/>
            </w:pPr>
            <w:r>
              <w:rPr/>
              <w:t>189,493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(1,089,506</w:t>
            </w:r>
          </w:p>
        </w:tc>
        <w:tc>
          <w:tcPr>
            <w:tcW w:w="17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March 31, 2026 balance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1,228,001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double" w:sz="10" w:space="0" w:color="000000"/>
            </w:tcBorders>
            <w:shd w:fill="CCEEFF" w:val="clear"/>
            <w:tcMar>
              <w:bottom w:w="28" w:type="dxa"/>
            </w:tcMar>
            <w:vAlign w:val="center"/>
          </w:tcPr>
          <w:p>
            <w:pPr>
              <w:pStyle w:val="TableContents"/>
              <w:bidi w:val="0"/>
              <w:spacing w:before="0" w:after="283"/>
              <w:jc w:val="right"/>
              <w:rPr/>
            </w:pPr>
            <w:r>
              <w:rPr/>
              <w:t>(20,979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10" w:space="0" w:color="000000"/>
            </w:tcBorders>
            <w:shd w:fill="CCEEFF" w:val="clear"/>
            <w:tcMar>
              <w:bottom w:w="28" w:type="dxa"/>
            </w:tcMar>
            <w:vAlign w:val="center"/>
          </w:tcPr>
          <w:p>
            <w:pPr>
              <w:pStyle w:val="TableContents"/>
              <w:bidi w:val="0"/>
              <w:spacing w:before="0" w:after="283"/>
              <w:jc w:val="right"/>
              <w:rPr/>
            </w:pPr>
            <w:r>
              <w:rPr/>
              <w:t>1,207,022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Deferred investment consideration payable</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695"/>
        <w:gridCol w:w="90"/>
        <w:gridCol w:w="155"/>
        <w:gridCol w:w="875"/>
        <w:gridCol w:w="90"/>
        <w:gridCol w:w="155"/>
        <w:gridCol w:w="920"/>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Deferred investment consideration payable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7,500,000</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contingent investment consideration payable relates to the Company’s investment in Nekcom of $7,500,000 in share consideration, for which the corresponding ordinary shares have been issued and placed in escrow. These shares will not be released until the Full Recoupment Date (see Note 6). As the Company expects the Full Recoupment Date to occur more than twelve months after March 31, 2026, the investment payable related to the $7,500,000 share consideration has been classified as non-current.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Related party balances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party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due from related parties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31"/>
        <w:gridCol w:w="90"/>
        <w:gridCol w:w="3061"/>
        <w:gridCol w:w="90"/>
        <w:gridCol w:w="2326"/>
        <w:gridCol w:w="90"/>
        <w:gridCol w:w="187"/>
        <w:gridCol w:w="913"/>
        <w:gridCol w:w="90"/>
        <w:gridCol w:w="90"/>
        <w:gridCol w:w="187"/>
        <w:gridCol w:w="913"/>
        <w:gridCol w:w="137"/>
      </w:tblGrid>
      <w:tr>
        <w:trPr/>
        <w:tc>
          <w:tcPr>
            <w:tcW w:w="2031" w:type="dxa"/>
            <w:tcBorders>
              <w:bottom w:val="single" w:sz="12" w:space="0" w:color="000000"/>
            </w:tcBorders>
            <w:vAlign w:val="center"/>
          </w:tcPr>
          <w:p>
            <w:pPr>
              <w:pStyle w:val="TableContents"/>
              <w:bidi w:val="0"/>
              <w:spacing w:before="0" w:after="283"/>
              <w:jc w:val="left"/>
              <w:rPr>
                <w:b/>
              </w:rPr>
            </w:pPr>
            <w:r>
              <w:rPr>
                <w:b/>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3061" w:type="dxa"/>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left"/>
              <w:rPr/>
            </w:pPr>
            <w:r>
              <w:rPr/>
              <w:t> </w:t>
            </w:r>
          </w:p>
        </w:tc>
        <w:tc>
          <w:tcPr>
            <w:tcW w:w="2326" w:type="dxa"/>
            <w:tcBorders>
              <w:bottom w:val="single" w:sz="12" w:space="0" w:color="000000"/>
            </w:tcBorders>
            <w:vAlign w:val="center"/>
          </w:tcPr>
          <w:p>
            <w:pPr>
              <w:pStyle w:val="TableContents"/>
              <w:bidi w:val="0"/>
              <w:spacing w:before="0" w:after="283"/>
              <w:jc w:val="center"/>
              <w:rPr>
                <w:b/>
              </w:rPr>
            </w:pPr>
            <w:r>
              <w:rPr>
                <w:b/>
              </w:rPr>
              <w:t>Nature</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As of</w:t>
              <w:br/>
              <w:t>March 31,</w:t>
              <w:br/>
              <w:t>2025</w:t>
            </w:r>
          </w:p>
        </w:tc>
        <w:tc>
          <w:tcPr>
            <w:tcW w:w="137" w:type="dxa"/>
            <w:tcBorders/>
            <w:tcMar>
              <w:bottom w:w="0" w:type="dxa"/>
            </w:tcMar>
            <w:vAlign w:val="center"/>
          </w:tcPr>
          <w:p>
            <w:pPr>
              <w:pStyle w:val="TableContents"/>
              <w:bidi w:val="0"/>
              <w:spacing w:before="0" w:after="283"/>
              <w:jc w:val="left"/>
              <w:rPr/>
            </w:pPr>
            <w:r>
              <w:rPr/>
              <w:t> </w:t>
            </w:r>
          </w:p>
        </w:tc>
      </w:tr>
      <w:tr>
        <w:trPr/>
        <w:tc>
          <w:tcPr>
            <w:tcW w:w="20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6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32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2031" w:type="dxa"/>
            <w:tcBorders/>
            <w:shd w:fill="CCEEFF" w:val="clear"/>
            <w:tcMar>
              <w:bottom w:w="0" w:type="dxa"/>
            </w:tcMar>
            <w:vAlign w:val="center"/>
          </w:tcPr>
          <w:p>
            <w:pPr>
              <w:pStyle w:val="TableContents"/>
              <w:bidi w:val="0"/>
              <w:spacing w:before="0" w:after="283"/>
              <w:jc w:val="left"/>
              <w:rPr/>
            </w:pPr>
            <w:r>
              <w:rPr/>
              <w:t>Epicsoft Ventures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1" w:type="dxa"/>
            <w:tcBorders/>
            <w:shd w:fill="CCEEFF" w:val="clear"/>
            <w:tcMar>
              <w:bottom w:w="0" w:type="dxa"/>
            </w:tcMar>
            <w:vAlign w:val="center"/>
          </w:tcPr>
          <w:p>
            <w:pPr>
              <w:pStyle w:val="TableContents"/>
              <w:bidi w:val="0"/>
              <w:spacing w:before="0" w:after="283"/>
              <w:jc w:val="center"/>
              <w:rPr/>
            </w:pPr>
            <w:r>
              <w:rPr/>
              <w:t>Common shareholders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26" w:type="dxa"/>
            <w:tcBorders/>
            <w:shd w:fill="CCEEFF" w:val="clear"/>
            <w:tcMar>
              <w:bottom w:w="0" w:type="dxa"/>
            </w:tcMar>
            <w:vAlign w:val="center"/>
          </w:tcPr>
          <w:p>
            <w:pPr>
              <w:pStyle w:val="TableContents"/>
              <w:bidi w:val="0"/>
              <w:spacing w:before="0" w:after="283"/>
              <w:jc w:val="center"/>
              <w:rPr/>
            </w:pPr>
            <w:r>
              <w:rPr/>
              <w:t>Reimbursement of business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426</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2031" w:type="dxa"/>
            <w:tcBorders/>
            <w:shd w:fill="FFFFFF" w:val="clear"/>
            <w:tcMar>
              <w:bottom w:w="0" w:type="dxa"/>
            </w:tcMar>
            <w:vAlign w:val="center"/>
          </w:tcPr>
          <w:p>
            <w:pPr>
              <w:pStyle w:val="TableContents"/>
              <w:bidi w:val="0"/>
              <w:spacing w:before="0" w:after="283"/>
              <w:jc w:val="left"/>
              <w:rPr/>
            </w:pPr>
            <w:r>
              <w:rPr/>
              <w:t>SEGA Corporation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1" w:type="dxa"/>
            <w:tcBorders/>
            <w:shd w:fill="FFFFFF" w:val="clear"/>
            <w:tcMar>
              <w:bottom w:w="0" w:type="dxa"/>
            </w:tcMar>
            <w:vAlign w:val="center"/>
          </w:tcPr>
          <w:p>
            <w:pPr>
              <w:pStyle w:val="TableContents"/>
              <w:bidi w:val="0"/>
              <w:spacing w:before="0" w:after="283"/>
              <w:jc w:val="center"/>
              <w:rPr/>
            </w:pPr>
            <w:r>
              <w:rPr/>
              <w:t>Shareholder of the Company</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26" w:type="dxa"/>
            <w:tcBorders/>
            <w:shd w:fill="FFFFFF" w:val="clear"/>
            <w:tcMar>
              <w:bottom w:w="0" w:type="dxa"/>
            </w:tcMar>
            <w:vAlign w:val="center"/>
          </w:tcPr>
          <w:p>
            <w:pPr>
              <w:pStyle w:val="TableContents"/>
              <w:bidi w:val="0"/>
              <w:spacing w:before="0" w:after="283"/>
              <w:jc w:val="center"/>
              <w:rPr/>
            </w:pPr>
            <w:r>
              <w:rPr/>
              <w:t>Recoupable advertising fee receivable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377,904</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2031" w:type="dxa"/>
            <w:tcBorders/>
            <w:shd w:fill="CCEEFF" w:val="clear"/>
            <w:tcMar>
              <w:bottom w:w="0" w:type="dxa"/>
            </w:tcMar>
            <w:vAlign w:val="center"/>
          </w:tcPr>
          <w:p>
            <w:pPr>
              <w:pStyle w:val="TableContents"/>
              <w:bidi w:val="0"/>
              <w:spacing w:before="0" w:after="283"/>
              <w:jc w:val="left"/>
              <w:rPr/>
            </w:pPr>
            <w:r>
              <w:rPr/>
              <w:t>Joseph Thomas Van Heeswijk</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1" w:type="dxa"/>
            <w:tcBorders/>
            <w:shd w:fill="CCEEFF" w:val="clear"/>
            <w:tcMar>
              <w:bottom w:w="0" w:type="dxa"/>
            </w:tcMar>
            <w:vAlign w:val="center"/>
          </w:tcPr>
          <w:p>
            <w:pPr>
              <w:pStyle w:val="TableContents"/>
              <w:bidi w:val="0"/>
              <w:spacing w:before="0" w:after="283"/>
              <w:jc w:val="center"/>
              <w:rPr/>
            </w:pPr>
            <w:r>
              <w:rPr/>
              <w:t>Minority Shareholder of 2Game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26" w:type="dxa"/>
            <w:tcBorders/>
            <w:shd w:fill="CCEEFF" w:val="clear"/>
            <w:tcMar>
              <w:bottom w:w="0" w:type="dxa"/>
            </w:tcMar>
            <w:vAlign w:val="center"/>
          </w:tcPr>
          <w:p>
            <w:pPr>
              <w:pStyle w:val="TableContents"/>
              <w:bidi w:val="0"/>
              <w:spacing w:before="0" w:after="283"/>
              <w:jc w:val="center"/>
              <w:rPr/>
            </w:pPr>
            <w:r>
              <w:rPr/>
              <w:t>Director loan, interest free, no maturity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164,292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8,873</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31" w:type="dxa"/>
            <w:tcBorders/>
            <w:shd w:fill="FFFFFF" w:val="clear"/>
            <w:tcMar>
              <w:bottom w:w="0" w:type="dxa"/>
            </w:tcMar>
            <w:vAlign w:val="center"/>
          </w:tcPr>
          <w:p>
            <w:pPr>
              <w:pStyle w:val="TableContents"/>
              <w:bidi w:val="0"/>
              <w:spacing w:before="0" w:after="283"/>
              <w:jc w:val="left"/>
              <w:rPr/>
            </w:pPr>
            <w:r>
              <w:rPr/>
              <w:t>Jianhao Tan Brand Ventures Pte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1" w:type="dxa"/>
            <w:tcBorders/>
            <w:shd w:fill="FFFFFF" w:val="clear"/>
            <w:tcMar>
              <w:bottom w:w="0" w:type="dxa"/>
            </w:tcMar>
            <w:vAlign w:val="center"/>
          </w:tcPr>
          <w:p>
            <w:pPr>
              <w:pStyle w:val="TableContents"/>
              <w:bidi w:val="0"/>
              <w:spacing w:before="0" w:after="283"/>
              <w:jc w:val="center"/>
              <w:rPr/>
            </w:pPr>
            <w:r>
              <w:rPr/>
              <w:t>Tan Jian Hao, the shareholder of JHTB Venture, the CEO of Titan Digital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26" w:type="dxa"/>
            <w:tcBorders/>
            <w:shd w:fill="FFFFFF" w:val="clear"/>
            <w:tcMar>
              <w:bottom w:w="0" w:type="dxa"/>
            </w:tcMar>
            <w:vAlign w:val="center"/>
          </w:tcPr>
          <w:p>
            <w:pPr>
              <w:pStyle w:val="TableContents"/>
              <w:bidi w:val="0"/>
              <w:spacing w:before="0" w:after="283"/>
              <w:jc w:val="center"/>
              <w:rPr/>
            </w:pPr>
            <w:r>
              <w:rPr/>
              <w:t>Expenses paid on behalf</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913"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913" w:type="dxa"/>
            <w:tcBorders>
              <w:bottom w:val="single" w:sz="12" w:space="0" w:color="000000"/>
            </w:tcBorders>
            <w:shd w:fill="FFFFFF" w:val="clear"/>
            <w:vAlign w:val="center"/>
          </w:tcPr>
          <w:p>
            <w:pPr>
              <w:pStyle w:val="TableContents"/>
              <w:bidi w:val="0"/>
              <w:spacing w:before="0" w:after="283"/>
              <w:jc w:val="right"/>
              <w:rPr/>
            </w:pPr>
            <w:r>
              <w:rPr/>
              <w:t>5,131</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2031"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2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vAlign w:val="center"/>
          </w:tcPr>
          <w:p>
            <w:pPr>
              <w:pStyle w:val="TableContents"/>
              <w:bidi w:val="0"/>
              <w:spacing w:before="0" w:after="283"/>
              <w:jc w:val="right"/>
              <w:rPr>
                <w:b/>
              </w:rPr>
            </w:pPr>
            <w:r>
              <w:rPr>
                <w:b/>
              </w:rPr>
              <w:t>164,292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vAlign w:val="center"/>
          </w:tcPr>
          <w:p>
            <w:pPr>
              <w:pStyle w:val="TableContents"/>
              <w:bidi w:val="0"/>
              <w:spacing w:before="0" w:after="283"/>
              <w:jc w:val="right"/>
              <w:rPr>
                <w:b/>
              </w:rPr>
            </w:pPr>
            <w:r>
              <w:rPr>
                <w:b/>
              </w:rPr>
              <w:t>392,334</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 a related party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90"/>
        <w:gridCol w:w="1544"/>
        <w:gridCol w:w="90"/>
        <w:gridCol w:w="4525"/>
        <w:gridCol w:w="90"/>
        <w:gridCol w:w="155"/>
        <w:gridCol w:w="875"/>
        <w:gridCol w:w="90"/>
        <w:gridCol w:w="90"/>
        <w:gridCol w:w="155"/>
        <w:gridCol w:w="875"/>
        <w:gridCol w:w="136"/>
      </w:tblGrid>
      <w:tr>
        <w:trPr/>
        <w:tc>
          <w:tcPr>
            <w:tcW w:w="14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154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w:t>
            </w:r>
          </w:p>
        </w:tc>
        <w:tc>
          <w:tcPr>
            <w:tcW w:w="90" w:type="dxa"/>
            <w:tcBorders/>
            <w:tcMar>
              <w:bottom w:w="0" w:type="dxa"/>
            </w:tcMar>
            <w:vAlign w:val="center"/>
          </w:tcPr>
          <w:p>
            <w:pPr>
              <w:pStyle w:val="TableContents"/>
              <w:bidi w:val="0"/>
              <w:spacing w:before="0" w:after="283"/>
              <w:jc w:val="left"/>
              <w:rPr/>
            </w:pPr>
            <w:r>
              <w:rPr/>
              <w:t> </w:t>
            </w:r>
          </w:p>
        </w:tc>
        <w:tc>
          <w:tcPr>
            <w:tcW w:w="4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br/>
              <w:t>2025</w:t>
            </w:r>
          </w:p>
        </w:tc>
        <w:tc>
          <w:tcPr>
            <w:tcW w:w="136"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4"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5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tcMar>
              <w:bottom w:w="0" w:type="dxa"/>
            </w:tcMar>
            <w:vAlign w:val="center"/>
          </w:tcPr>
          <w:p>
            <w:pPr>
              <w:pStyle w:val="TableContents"/>
              <w:bidi w:val="0"/>
              <w:spacing w:before="0" w:after="283"/>
              <w:jc w:val="center"/>
              <w:rPr/>
            </w:pPr>
            <w:r>
              <w:rPr/>
              <w:t> </w:t>
            </w:r>
          </w:p>
        </w:tc>
        <w:tc>
          <w:tcPr>
            <w:tcW w:w="136" w:type="dxa"/>
            <w:tcBorders/>
            <w:tcMar>
              <w:bottom w:w="0" w:type="dxa"/>
            </w:tcMar>
            <w:vAlign w:val="center"/>
          </w:tcPr>
          <w:p>
            <w:pPr>
              <w:pStyle w:val="TableContents"/>
              <w:bidi w:val="0"/>
              <w:spacing w:before="0" w:after="283"/>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Nekcom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 securities investee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Prepayment for a recoupable minimum sales guarantee, Five (5) years following the First Commercial Release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3,000,000</w:t>
            </w:r>
          </w:p>
        </w:tc>
        <w:tc>
          <w:tcPr>
            <w:tcW w:w="13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Accounts payable, a related party</w:t>
      </w:r>
    </w:p>
    <w:p>
      <w:pPr>
        <w:pStyle w:val="TextBody"/>
        <w:bidi w:val="0"/>
        <w:spacing w:before="0" w:after="0"/>
        <w:ind w:left="0" w:right="0" w:hanging="0"/>
        <w:jc w:val="left"/>
        <w:rPr>
          <w:caps w:val="false"/>
          <w:smallCaps w:val="false"/>
        </w:rPr>
      </w:pPr>
      <w:r>
        <w:rPr>
          <w:caps w:val="false"/>
          <w:smallCaps w:val="false"/>
        </w:rPr>
        <w:t> </w:t>
      </w:r>
    </w:p>
    <w:tbl>
      <w:tblPr>
        <w:tblW w:w="7715" w:type="dxa"/>
        <w:jc w:val="left"/>
        <w:tblInd w:w="0" w:type="dxa"/>
        <w:tblLayout w:type="fixed"/>
        <w:tblCellMar>
          <w:top w:w="0" w:type="dxa"/>
          <w:left w:w="0" w:type="dxa"/>
          <w:bottom w:w="28" w:type="dxa"/>
          <w:right w:w="0" w:type="dxa"/>
        </w:tblCellMar>
      </w:tblPr>
      <w:tblGrid>
        <w:gridCol w:w="1925"/>
        <w:gridCol w:w="90"/>
        <w:gridCol w:w="2375"/>
        <w:gridCol w:w="90"/>
        <w:gridCol w:w="770"/>
        <w:gridCol w:w="90"/>
        <w:gridCol w:w="155"/>
        <w:gridCol w:w="875"/>
        <w:gridCol w:w="90"/>
        <w:gridCol w:w="90"/>
        <w:gridCol w:w="155"/>
        <w:gridCol w:w="875"/>
        <w:gridCol w:w="135"/>
      </w:tblGrid>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w:t>
            </w:r>
          </w:p>
        </w:tc>
        <w:tc>
          <w:tcPr>
            <w:tcW w:w="9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w:t>
              <w:br/>
              <w:t>2025</w:t>
            </w:r>
          </w:p>
        </w:tc>
        <w:tc>
          <w:tcPr>
            <w:tcW w:w="135" w:type="dxa"/>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SEGA Corporation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Shareholder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Purchase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4,293,316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4,567,337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due to related parties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03"/>
        <w:gridCol w:w="90"/>
        <w:gridCol w:w="2470"/>
        <w:gridCol w:w="90"/>
        <w:gridCol w:w="3065"/>
        <w:gridCol w:w="90"/>
        <w:gridCol w:w="170"/>
        <w:gridCol w:w="1010"/>
        <w:gridCol w:w="90"/>
        <w:gridCol w:w="90"/>
        <w:gridCol w:w="187"/>
        <w:gridCol w:w="913"/>
        <w:gridCol w:w="137"/>
      </w:tblGrid>
      <w:tr>
        <w:trPr/>
        <w:tc>
          <w:tcPr>
            <w:tcW w:w="1803" w:type="dxa"/>
            <w:tcBorders>
              <w:bottom w:val="single" w:sz="12" w:space="0" w:color="000000"/>
            </w:tcBorders>
            <w:vAlign w:val="center"/>
          </w:tcPr>
          <w:p>
            <w:pPr>
              <w:pStyle w:val="TableContents"/>
              <w:bidi w:val="0"/>
              <w:spacing w:before="0" w:after="283"/>
              <w:jc w:val="left"/>
              <w:rPr>
                <w:b/>
              </w:rPr>
            </w:pPr>
            <w:r>
              <w:rPr>
                <w:b/>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2470" w:type="dxa"/>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center"/>
              <w:rPr>
                <w:b/>
              </w:rPr>
            </w:pPr>
            <w:r>
              <w:rPr>
                <w:b/>
              </w:rPr>
              <w:t>Nature</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As of</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As of</w:t>
              <w:br/>
              <w:t>March 31,</w:t>
              <w:br/>
              <w:t>2025</w:t>
            </w:r>
          </w:p>
        </w:tc>
        <w:tc>
          <w:tcPr>
            <w:tcW w:w="137" w:type="dxa"/>
            <w:tcBorders/>
            <w:tcMar>
              <w:bottom w:w="0" w:type="dxa"/>
            </w:tcMar>
            <w:vAlign w:val="center"/>
          </w:tcPr>
          <w:p>
            <w:pPr>
              <w:pStyle w:val="TableContents"/>
              <w:bidi w:val="0"/>
              <w:spacing w:before="0" w:after="283"/>
              <w:jc w:val="left"/>
              <w:rPr/>
            </w:pPr>
            <w:r>
              <w:rPr/>
              <w:t> </w:t>
            </w:r>
          </w:p>
        </w:tc>
      </w:tr>
      <w:tr>
        <w:trPr/>
        <w:tc>
          <w:tcPr>
            <w:tcW w:w="18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center"/>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1803" w:type="dxa"/>
            <w:tcBorders/>
            <w:shd w:fill="CCEEFF" w:val="clear"/>
            <w:tcMar>
              <w:bottom w:w="0" w:type="dxa"/>
            </w:tcMar>
            <w:vAlign w:val="center"/>
          </w:tcPr>
          <w:p>
            <w:pPr>
              <w:pStyle w:val="TableContents"/>
              <w:bidi w:val="0"/>
              <w:spacing w:before="0" w:after="283"/>
              <w:jc w:val="left"/>
              <w:rPr/>
            </w:pPr>
            <w:r>
              <w:rPr/>
              <w:t>Choo See Wee (“Jacky”)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70" w:type="dxa"/>
            <w:tcBorders/>
            <w:shd w:fill="CCEEFF" w:val="clear"/>
            <w:tcMar>
              <w:bottom w:w="0" w:type="dxa"/>
            </w:tcMar>
            <w:vAlign w:val="center"/>
          </w:tcPr>
          <w:p>
            <w:pPr>
              <w:pStyle w:val="TableContents"/>
              <w:bidi w:val="0"/>
              <w:spacing w:before="0" w:after="283"/>
              <w:jc w:val="center"/>
              <w:rPr/>
            </w:pPr>
            <w:r>
              <w:rPr/>
              <w:t>Chairman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center"/>
              <w:rPr/>
            </w:pPr>
            <w:r>
              <w:rPr/>
              <w:t>Loan from Director, interest fee and repayable on demand, Director fee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823,864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12,293</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803" w:type="dxa"/>
            <w:tcBorders/>
            <w:shd w:fill="FFFFFF" w:val="clear"/>
            <w:tcMar>
              <w:bottom w:w="0" w:type="dxa"/>
            </w:tcMar>
            <w:vAlign w:val="center"/>
          </w:tcPr>
          <w:p>
            <w:pPr>
              <w:pStyle w:val="TableContents"/>
              <w:bidi w:val="0"/>
              <w:spacing w:before="0" w:after="283"/>
              <w:jc w:val="left"/>
              <w:rPr/>
            </w:pPr>
            <w:r>
              <w:rPr/>
              <w:t>Tan Jian Hao</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70" w:type="dxa"/>
            <w:tcBorders/>
            <w:shd w:fill="FFFFFF" w:val="clear"/>
            <w:tcMar>
              <w:bottom w:w="0" w:type="dxa"/>
            </w:tcMar>
            <w:vAlign w:val="center"/>
          </w:tcPr>
          <w:p>
            <w:pPr>
              <w:pStyle w:val="TableContents"/>
              <w:bidi w:val="0"/>
              <w:spacing w:before="0" w:after="283"/>
              <w:jc w:val="center"/>
              <w:rPr/>
            </w:pPr>
            <w:r>
              <w:rPr/>
              <w:t>Shareholder of the Company</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5" w:type="dxa"/>
            <w:tcBorders/>
            <w:shd w:fill="FFFFFF" w:val="clear"/>
            <w:tcMar>
              <w:bottom w:w="0" w:type="dxa"/>
            </w:tcMar>
            <w:vAlign w:val="center"/>
          </w:tcPr>
          <w:p>
            <w:pPr>
              <w:pStyle w:val="TableContents"/>
              <w:bidi w:val="0"/>
              <w:spacing w:before="0" w:after="283"/>
              <w:jc w:val="center"/>
              <w:rPr/>
            </w:pPr>
            <w:r>
              <w:rPr/>
              <w:t>Loan from Director, interest fee and repayable on demand, compensation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188,087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56,127</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1803" w:type="dxa"/>
            <w:tcBorders/>
            <w:shd w:fill="CCEEFF" w:val="clear"/>
            <w:tcMar>
              <w:bottom w:w="0" w:type="dxa"/>
            </w:tcMar>
            <w:vAlign w:val="center"/>
          </w:tcPr>
          <w:p>
            <w:pPr>
              <w:pStyle w:val="TableContents"/>
              <w:bidi w:val="0"/>
              <w:spacing w:before="0" w:after="283"/>
              <w:jc w:val="left"/>
              <w:rPr/>
            </w:pPr>
            <w:r>
              <w:rPr/>
              <w:t>Joseph Thomas Van Heeswijk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70" w:type="dxa"/>
            <w:tcBorders/>
            <w:shd w:fill="CCEEFF" w:val="clear"/>
            <w:tcMar>
              <w:bottom w:w="0" w:type="dxa"/>
            </w:tcMar>
            <w:vAlign w:val="center"/>
          </w:tcPr>
          <w:p>
            <w:pPr>
              <w:pStyle w:val="TableContents"/>
              <w:bidi w:val="0"/>
              <w:spacing w:before="0" w:after="283"/>
              <w:jc w:val="center"/>
              <w:rPr/>
            </w:pPr>
            <w:r>
              <w:rPr/>
              <w:t>Minority Shareholder of 2Game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center"/>
              <w:rPr/>
            </w:pPr>
            <w:r>
              <w:rPr/>
              <w:t>Consideration payable for 10% controlling interest in 2Game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14,539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197,885</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803" w:type="dxa"/>
            <w:tcBorders/>
            <w:shd w:fill="FFFFFF" w:val="clear"/>
            <w:tcMar>
              <w:bottom w:w="0" w:type="dxa"/>
            </w:tcMar>
            <w:vAlign w:val="center"/>
          </w:tcPr>
          <w:p>
            <w:pPr>
              <w:pStyle w:val="TableContents"/>
              <w:bidi w:val="0"/>
              <w:spacing w:before="0" w:after="283"/>
              <w:jc w:val="left"/>
              <w:rPr/>
            </w:pPr>
            <w:r>
              <w:rPr/>
              <w:t>Shaun Amah Gozo-Hill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70" w:type="dxa"/>
            <w:tcBorders/>
            <w:shd w:fill="FFFFFF" w:val="clear"/>
            <w:tcMar>
              <w:bottom w:w="0" w:type="dxa"/>
            </w:tcMar>
            <w:vAlign w:val="center"/>
          </w:tcPr>
          <w:p>
            <w:pPr>
              <w:pStyle w:val="TableContents"/>
              <w:bidi w:val="0"/>
              <w:spacing w:before="0" w:after="283"/>
              <w:jc w:val="center"/>
              <w:rPr/>
            </w:pPr>
            <w:r>
              <w:rPr/>
              <w:t>Minority Shareholder of 2Game</w:t>
            </w:r>
            <w:r>
              <w:rPr>
                <w:rFonts w:ascii="Times New Roman;Times;Serif" w:hAnsi="Times New Roman;Times;Serif"/>
                <w:sz w:val="20"/>
              </w:rPr>
              <w:t>, Director of 2Game Dubai</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5" w:type="dxa"/>
            <w:tcBorders/>
            <w:shd w:fill="FFFFFF" w:val="clear"/>
            <w:tcMar>
              <w:bottom w:w="0" w:type="dxa"/>
            </w:tcMar>
            <w:vAlign w:val="center"/>
          </w:tcPr>
          <w:p>
            <w:pPr>
              <w:pStyle w:val="TableContents"/>
              <w:bidi w:val="0"/>
              <w:spacing w:before="0" w:after="283"/>
              <w:jc w:val="center"/>
              <w:rPr/>
            </w:pPr>
            <w:r>
              <w:rPr/>
              <w:t>Consideration payable for 10% controlling interest in 2Game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6,450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197,885</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1803" w:type="dxa"/>
            <w:tcBorders/>
            <w:shd w:fill="CCEEFF" w:val="clear"/>
            <w:tcMar>
              <w:bottom w:w="0" w:type="dxa"/>
            </w:tcMar>
            <w:vAlign w:val="center"/>
          </w:tcPr>
          <w:p>
            <w:pPr>
              <w:pStyle w:val="TableContents"/>
              <w:bidi w:val="0"/>
              <w:spacing w:before="0" w:after="283"/>
              <w:jc w:val="left"/>
              <w:rPr/>
            </w:pPr>
            <w:r>
              <w:rPr/>
              <w:t>Wong Wan Ping Mario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70" w:type="dxa"/>
            <w:tcBorders/>
            <w:shd w:fill="CCEEFF" w:val="clear"/>
            <w:tcMar>
              <w:bottom w:w="0" w:type="dxa"/>
            </w:tcMar>
            <w:vAlign w:val="center"/>
          </w:tcPr>
          <w:p>
            <w:pPr>
              <w:pStyle w:val="TableContents"/>
              <w:bidi w:val="0"/>
              <w:spacing w:before="0" w:after="283"/>
              <w:jc w:val="center"/>
              <w:rPr/>
            </w:pPr>
            <w:r>
              <w:rPr/>
              <w:t>Minority Shareholder of 2Game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center"/>
              <w:rPr/>
            </w:pPr>
            <w:r>
              <w:rPr/>
              <w:t>Consideration payable for 10% controlling interest in 2Game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197,885</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03" w:type="dxa"/>
            <w:tcBorders/>
            <w:shd w:fill="FFFFFF" w:val="clear"/>
            <w:tcMar>
              <w:bottom w:w="0" w:type="dxa"/>
            </w:tcMar>
            <w:vAlign w:val="center"/>
          </w:tcPr>
          <w:p>
            <w:pPr>
              <w:pStyle w:val="TableContents"/>
              <w:bidi w:val="0"/>
              <w:spacing w:before="0" w:after="283"/>
              <w:jc w:val="left"/>
              <w:rPr/>
            </w:pPr>
            <w:r>
              <w:rPr/>
              <w:t>Debbie Soon Rui Yi</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70" w:type="dxa"/>
            <w:tcBorders/>
            <w:shd w:fill="FFFFFF" w:val="clear"/>
            <w:tcMar>
              <w:bottom w:w="0" w:type="dxa"/>
            </w:tcMar>
            <w:vAlign w:val="center"/>
          </w:tcPr>
          <w:p>
            <w:pPr>
              <w:pStyle w:val="TableContents"/>
              <w:bidi w:val="0"/>
              <w:spacing w:before="0" w:after="283"/>
              <w:jc w:val="center"/>
              <w:rPr/>
            </w:pPr>
            <w:r>
              <w:rPr/>
              <w:t>Director of Starry Jewelry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5" w:type="dxa"/>
            <w:tcBorders/>
            <w:shd w:fill="FFFFFF" w:val="clear"/>
            <w:tcMar>
              <w:bottom w:w="0" w:type="dxa"/>
            </w:tcMar>
            <w:vAlign w:val="center"/>
          </w:tcPr>
          <w:p>
            <w:pPr>
              <w:pStyle w:val="TableContents"/>
              <w:bidi w:val="0"/>
              <w:spacing w:before="0" w:after="283"/>
              <w:jc w:val="center"/>
              <w:rPr/>
            </w:pPr>
            <w:r>
              <w:rPr/>
              <w:t>Expenses paid on behalf</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743</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1803" w:type="dxa"/>
            <w:tcBorders/>
            <w:shd w:fill="CCEEFF" w:val="clear"/>
            <w:tcMar>
              <w:bottom w:w="0" w:type="dxa"/>
            </w:tcMar>
            <w:vAlign w:val="center"/>
          </w:tcPr>
          <w:p>
            <w:pPr>
              <w:pStyle w:val="TableContents"/>
              <w:bidi w:val="0"/>
              <w:spacing w:before="0" w:after="283"/>
              <w:jc w:val="left"/>
              <w:rPr/>
            </w:pPr>
            <w:r>
              <w:rPr/>
              <w:t>Shaun Amah Gozo-Hill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70" w:type="dxa"/>
            <w:tcBorders/>
            <w:shd w:fill="CCEEFF" w:val="clear"/>
            <w:tcMar>
              <w:bottom w:w="0" w:type="dxa"/>
            </w:tcMar>
            <w:vAlign w:val="center"/>
          </w:tcPr>
          <w:p>
            <w:pPr>
              <w:pStyle w:val="TableContents"/>
              <w:bidi w:val="0"/>
              <w:spacing w:before="0" w:after="283"/>
              <w:jc w:val="center"/>
              <w:rPr/>
            </w:pPr>
            <w:r>
              <w:rPr/>
              <w:t>Minority Shareholder of 2Game, Director of 2Game Dubai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center"/>
              <w:rPr/>
            </w:pPr>
            <w:r>
              <w:rPr/>
              <w:t>Expenses paid on behalf</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10,009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913" w:type="dxa"/>
            <w:tcBorders>
              <w:bottom w:val="single" w:sz="12" w:space="0" w:color="000000"/>
            </w:tcBorders>
            <w:shd w:fill="CCEEFF" w:val="clear"/>
            <w:vAlign w:val="center"/>
          </w:tcPr>
          <w:p>
            <w:pPr>
              <w:pStyle w:val="TableContents"/>
              <w:bidi w:val="0"/>
              <w:spacing w:before="0" w:after="283"/>
              <w:jc w:val="right"/>
              <w:rPr/>
            </w:pPr>
            <w:r>
              <w:rPr/>
              <w:t>20,520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803"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7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6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vAlign w:val="center"/>
          </w:tcPr>
          <w:p>
            <w:pPr>
              <w:pStyle w:val="TableContents"/>
              <w:bidi w:val="0"/>
              <w:spacing w:before="0" w:after="283"/>
              <w:jc w:val="right"/>
              <w:rPr>
                <w:b/>
              </w:rPr>
            </w:pPr>
            <w:r>
              <w:rPr>
                <w:b/>
              </w:rPr>
              <w:t>1,042,949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vAlign w:val="center"/>
          </w:tcPr>
          <w:p>
            <w:pPr>
              <w:pStyle w:val="TableContents"/>
              <w:bidi w:val="0"/>
              <w:spacing w:before="0" w:after="283"/>
              <w:jc w:val="right"/>
              <w:rPr>
                <w:b/>
              </w:rPr>
            </w:pPr>
            <w:r>
              <w:rPr>
                <w:b/>
              </w:rPr>
              <w:t>683,338</w:t>
            </w:r>
          </w:p>
        </w:tc>
        <w:tc>
          <w:tcPr>
            <w:tcW w:w="13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parties’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from a related party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8"/>
        <w:gridCol w:w="90"/>
        <w:gridCol w:w="4046"/>
        <w:gridCol w:w="90"/>
        <w:gridCol w:w="200"/>
        <w:gridCol w:w="982"/>
        <w:gridCol w:w="90"/>
        <w:gridCol w:w="90"/>
        <w:gridCol w:w="178"/>
        <w:gridCol w:w="1060"/>
        <w:gridCol w:w="90"/>
        <w:gridCol w:w="90"/>
        <w:gridCol w:w="228"/>
        <w:gridCol w:w="955"/>
        <w:gridCol w:w="138"/>
      </w:tblGrid>
      <w:tr>
        <w:trPr/>
        <w:tc>
          <w:tcPr>
            <w:tcW w:w="1878" w:type="dxa"/>
            <w:tcBorders>
              <w:bottom w:val="single" w:sz="12" w:space="0" w:color="000000"/>
            </w:tcBorders>
            <w:vAlign w:val="center"/>
          </w:tcPr>
          <w:p>
            <w:pPr>
              <w:pStyle w:val="TableContents"/>
              <w:bidi w:val="0"/>
              <w:spacing w:before="0" w:after="283"/>
              <w:jc w:val="left"/>
              <w:rPr>
                <w:b/>
              </w:rPr>
            </w:pPr>
            <w:r>
              <w:rPr>
                <w:b/>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4046" w:type="dxa"/>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left"/>
              <w:rPr/>
            </w:pPr>
            <w:r>
              <w:rPr/>
              <w:t> </w:t>
            </w:r>
          </w:p>
        </w:tc>
        <w:tc>
          <w:tcPr>
            <w:tcW w:w="1182" w:type="dxa"/>
            <w:gridSpan w:val="2"/>
            <w:tcBorders>
              <w:bottom w:val="single" w:sz="12" w:space="0" w:color="000000"/>
            </w:tcBorders>
            <w:vAlign w:val="center"/>
          </w:tcPr>
          <w:p>
            <w:pPr>
              <w:pStyle w:val="TableContents"/>
              <w:bidi w:val="0"/>
              <w:spacing w:before="0" w:after="283"/>
              <w:jc w:val="center"/>
              <w:rPr>
                <w:b/>
              </w:rPr>
            </w:pPr>
            <w:r>
              <w:rPr>
                <w:b/>
              </w:rPr>
              <w:t>For the Year</w:t>
              <w:br/>
              <w:t xml:space="preserve">Ended </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8" w:type="dxa"/>
            <w:gridSpan w:val="2"/>
            <w:tcBorders>
              <w:bottom w:val="single" w:sz="12" w:space="0" w:color="000000"/>
            </w:tcBorders>
            <w:vAlign w:val="center"/>
          </w:tcPr>
          <w:p>
            <w:pPr>
              <w:pStyle w:val="TableContents"/>
              <w:bidi w:val="0"/>
              <w:spacing w:before="0" w:after="283"/>
              <w:jc w:val="center"/>
              <w:rPr>
                <w:b/>
              </w:rPr>
            </w:pPr>
            <w:r>
              <w:rPr>
                <w:b/>
              </w:rPr>
              <w:t>For the Year</w:t>
              <w:br/>
              <w:t xml:space="preserve">Ended </w:t>
              <w:br/>
              <w:t>March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3" w:type="dxa"/>
            <w:gridSpan w:val="2"/>
            <w:tcBorders>
              <w:bottom w:val="single" w:sz="12" w:space="0" w:color="000000"/>
            </w:tcBorders>
            <w:vAlign w:val="center"/>
          </w:tcPr>
          <w:p>
            <w:pPr>
              <w:pStyle w:val="TableContents"/>
              <w:bidi w:val="0"/>
              <w:spacing w:before="0" w:after="283"/>
              <w:jc w:val="center"/>
              <w:rPr>
                <w:b/>
              </w:rPr>
            </w:pPr>
            <w:r>
              <w:rPr>
                <w:b/>
              </w:rPr>
              <w:t>For the Year</w:t>
              <w:br/>
              <w:t xml:space="preserve">Ended </w:t>
              <w:br/>
              <w:t>March 31,</w:t>
              <w:br/>
              <w:t>2024</w:t>
            </w:r>
          </w:p>
        </w:tc>
        <w:tc>
          <w:tcPr>
            <w:tcW w:w="138" w:type="dxa"/>
            <w:tcBorders/>
            <w:tcMar>
              <w:bottom w:w="0" w:type="dxa"/>
            </w:tcMar>
            <w:vAlign w:val="center"/>
          </w:tcPr>
          <w:p>
            <w:pPr>
              <w:pStyle w:val="TableContents"/>
              <w:bidi w:val="0"/>
              <w:spacing w:before="0" w:after="283"/>
              <w:jc w:val="left"/>
              <w:rPr/>
            </w:pPr>
            <w:r>
              <w:rPr/>
              <w:t> </w:t>
            </w:r>
          </w:p>
        </w:tc>
      </w:tr>
      <w:tr>
        <w:trPr/>
        <w:tc>
          <w:tcPr>
            <w:tcW w:w="187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04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82"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8"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3"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1878" w:type="dxa"/>
            <w:tcBorders/>
            <w:shd w:fill="CCEEFF" w:val="clear"/>
            <w:tcMar>
              <w:bottom w:w="0" w:type="dxa"/>
            </w:tcMar>
            <w:vAlign w:val="center"/>
          </w:tcPr>
          <w:p>
            <w:pPr>
              <w:pStyle w:val="TableContents"/>
              <w:bidi w:val="0"/>
              <w:spacing w:before="0" w:after="283"/>
              <w:jc w:val="left"/>
              <w:rPr/>
            </w:pPr>
            <w:r>
              <w:rPr/>
              <w:t>SEGA Corporation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46" w:type="dxa"/>
            <w:tcBorders/>
            <w:shd w:fill="CCEEFF" w:val="clear"/>
            <w:tcMar>
              <w:bottom w:w="0" w:type="dxa"/>
            </w:tcMar>
            <w:vAlign w:val="center"/>
          </w:tcPr>
          <w:p>
            <w:pPr>
              <w:pStyle w:val="TableContents"/>
              <w:bidi w:val="0"/>
              <w:spacing w:before="0" w:after="283"/>
              <w:jc w:val="center"/>
              <w:rPr/>
            </w:pPr>
            <w:r>
              <w:rPr/>
              <w:t>Shareholder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114,094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60" w:type="dxa"/>
            <w:tcBorders/>
            <w:shd w:fill="CCEEFF" w:val="clear"/>
            <w:tcMar>
              <w:bottom w:w="0" w:type="dxa"/>
            </w:tcMar>
            <w:vAlign w:val="center"/>
          </w:tcPr>
          <w:p>
            <w:pPr>
              <w:pStyle w:val="TableContents"/>
              <w:bidi w:val="0"/>
              <w:spacing w:before="0" w:after="283"/>
              <w:jc w:val="right"/>
              <w:rPr/>
            </w:pPr>
            <w:r>
              <w:rPr/>
              <w:t>1,244,899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w:t>
            </w:r>
          </w:p>
        </w:tc>
        <w:tc>
          <w:tcPr>
            <w:tcW w:w="955" w:type="dxa"/>
            <w:tcBorders/>
            <w:shd w:fill="CCEEFF" w:val="clear"/>
            <w:tcMar>
              <w:bottom w:w="0" w:type="dxa"/>
            </w:tcMar>
            <w:vAlign w:val="center"/>
          </w:tcPr>
          <w:p>
            <w:pPr>
              <w:pStyle w:val="TableContents"/>
              <w:bidi w:val="0"/>
              <w:spacing w:before="0" w:after="283"/>
              <w:jc w:val="right"/>
              <w:rPr/>
            </w:pPr>
            <w:r>
              <w:rPr/>
              <w:t>42,477</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878" w:type="dxa"/>
            <w:tcBorders/>
            <w:shd w:fill="FFFFFF" w:val="clear"/>
            <w:tcMar>
              <w:bottom w:w="0" w:type="dxa"/>
            </w:tcMar>
            <w:vAlign w:val="center"/>
          </w:tcPr>
          <w:p>
            <w:pPr>
              <w:pStyle w:val="TableContents"/>
              <w:bidi w:val="0"/>
              <w:spacing w:before="0" w:after="283"/>
              <w:jc w:val="left"/>
              <w:rPr/>
            </w:pPr>
            <w:r>
              <w:rPr/>
              <w:t>Jianhaotan Brand Ventures Pte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4046" w:type="dxa"/>
            <w:tcBorders/>
            <w:shd w:fill="FFFFFF" w:val="clear"/>
            <w:tcMar>
              <w:bottom w:w="0" w:type="dxa"/>
            </w:tcMar>
            <w:vAlign w:val="center"/>
          </w:tcPr>
          <w:p>
            <w:pPr>
              <w:pStyle w:val="TableContents"/>
              <w:bidi w:val="0"/>
              <w:spacing w:before="0" w:after="283"/>
              <w:jc w:val="center"/>
              <w:rPr/>
            </w:pPr>
            <w:r>
              <w:rPr/>
              <w:t>Tan Jian Hao, who is a shareholder of this entity and serves as the Chief Executive Officer of Titan Digital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82" w:type="dxa"/>
            <w:tcBorders>
              <w:bottom w:val="single" w:sz="12" w:space="0" w:color="000000"/>
            </w:tcBorders>
            <w:shd w:fill="FFFFFF" w:val="clear"/>
            <w:vAlign w:val="center"/>
          </w:tcPr>
          <w:p>
            <w:pPr>
              <w:pStyle w:val="TableContents"/>
              <w:bidi w:val="0"/>
              <w:spacing w:before="0" w:after="283"/>
              <w:jc w:val="right"/>
              <w:rPr/>
            </w:pPr>
            <w:r>
              <w:rPr/>
              <w:t>4,655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060" w:type="dxa"/>
            <w:tcBorders>
              <w:bottom w:val="single" w:sz="12" w:space="0" w:color="000000"/>
            </w:tcBorders>
            <w:shd w:fill="FFFFFF" w:val="clear"/>
            <w:vAlign w:val="center"/>
          </w:tcPr>
          <w:p>
            <w:pPr>
              <w:pStyle w:val="TableContents"/>
              <w:bidi w:val="0"/>
              <w:spacing w:before="0" w:after="283"/>
              <w:jc w:val="right"/>
              <w:rPr/>
            </w:pPr>
            <w:r>
              <w:rPr/>
              <w:t>264,506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8" w:type="dxa"/>
            <w:tcBorders>
              <w:bottom w:val="single" w:sz="12" w:space="0" w:color="000000"/>
            </w:tcBorders>
            <w:shd w:fill="FFFFFF" w:val="clear"/>
            <w:vAlign w:val="center"/>
          </w:tcPr>
          <w:p>
            <w:pPr>
              <w:pStyle w:val="TableContents"/>
              <w:bidi w:val="0"/>
              <w:spacing w:before="0" w:after="283"/>
              <w:jc w:val="left"/>
              <w:rPr/>
            </w:pPr>
            <w:r>
              <w:rPr/>
              <w:t> </w:t>
            </w:r>
          </w:p>
        </w:tc>
        <w:tc>
          <w:tcPr>
            <w:tcW w:w="955" w:type="dxa"/>
            <w:tcBorders>
              <w:bottom w:val="single" w:sz="12" w:space="0" w:color="000000"/>
            </w:tcBorders>
            <w:shd w:fill="FFFFFF" w:val="clear"/>
            <w:vAlign w:val="center"/>
          </w:tcPr>
          <w:p>
            <w:pPr>
              <w:pStyle w:val="TableContents"/>
              <w:bidi w:val="0"/>
              <w:spacing w:before="0" w:after="0"/>
              <w:jc w:val="right"/>
              <w:rPr/>
            </w:pPr>
            <w:r>
              <w:rPr/>
              <w:t>-</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1878"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4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2" w:type="dxa"/>
            <w:tcBorders>
              <w:bottom w:val="double" w:sz="10" w:space="0" w:color="000000"/>
            </w:tcBorders>
            <w:shd w:fill="CCEEFF" w:val="clear"/>
            <w:vAlign w:val="center"/>
          </w:tcPr>
          <w:p>
            <w:pPr>
              <w:pStyle w:val="TableContents"/>
              <w:bidi w:val="0"/>
              <w:spacing w:before="0" w:after="283"/>
              <w:jc w:val="right"/>
              <w:rPr>
                <w:b/>
              </w:rPr>
            </w:pPr>
            <w:r>
              <w:rPr>
                <w:b/>
              </w:rPr>
              <w:t>118,749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60" w:type="dxa"/>
            <w:tcBorders>
              <w:bottom w:val="double" w:sz="10" w:space="0" w:color="000000"/>
            </w:tcBorders>
            <w:shd w:fill="CCEEFF" w:val="clear"/>
            <w:vAlign w:val="center"/>
          </w:tcPr>
          <w:p>
            <w:pPr>
              <w:pStyle w:val="TableContents"/>
              <w:bidi w:val="0"/>
              <w:spacing w:before="0" w:after="283"/>
              <w:jc w:val="right"/>
              <w:rPr>
                <w:b/>
              </w:rPr>
            </w:pPr>
            <w:r>
              <w:rPr>
                <w:b/>
              </w:rPr>
              <w:t>1,509,405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55" w:type="dxa"/>
            <w:tcBorders>
              <w:bottom w:val="double" w:sz="10" w:space="0" w:color="000000"/>
            </w:tcBorders>
            <w:shd w:fill="CCEEFF" w:val="clear"/>
            <w:vAlign w:val="center"/>
          </w:tcPr>
          <w:p>
            <w:pPr>
              <w:pStyle w:val="TableContents"/>
              <w:bidi w:val="0"/>
              <w:spacing w:before="0" w:after="283"/>
              <w:jc w:val="right"/>
              <w:rPr>
                <w:b/>
              </w:rPr>
            </w:pPr>
            <w:r>
              <w:rPr>
                <w:b/>
              </w:rPr>
              <w:t>42,477</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 from related 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2"/>
        <w:gridCol w:w="90"/>
        <w:gridCol w:w="1766"/>
        <w:gridCol w:w="90"/>
        <w:gridCol w:w="2048"/>
        <w:gridCol w:w="90"/>
        <w:gridCol w:w="172"/>
        <w:gridCol w:w="1148"/>
        <w:gridCol w:w="90"/>
        <w:gridCol w:w="90"/>
        <w:gridCol w:w="172"/>
        <w:gridCol w:w="1148"/>
        <w:gridCol w:w="90"/>
        <w:gridCol w:w="90"/>
        <w:gridCol w:w="172"/>
        <w:gridCol w:w="1148"/>
        <w:gridCol w:w="139"/>
      </w:tblGrid>
      <w:tr>
        <w:trPr/>
        <w:tc>
          <w:tcPr>
            <w:tcW w:w="1662" w:type="dxa"/>
            <w:tcBorders>
              <w:bottom w:val="single" w:sz="12" w:space="0" w:color="000000"/>
            </w:tcBorders>
            <w:vAlign w:val="center"/>
          </w:tcPr>
          <w:p>
            <w:pPr>
              <w:pStyle w:val="TableContents"/>
              <w:bidi w:val="0"/>
              <w:spacing w:before="0" w:after="283"/>
              <w:jc w:val="left"/>
              <w:rPr>
                <w:b/>
              </w:rPr>
            </w:pPr>
            <w:r>
              <w:rPr>
                <w:b/>
              </w:rPr>
              <w:t>Name of related party</w:t>
            </w:r>
          </w:p>
        </w:tc>
        <w:tc>
          <w:tcPr>
            <w:tcW w:w="90" w:type="dxa"/>
            <w:tcBorders/>
            <w:tcMar>
              <w:bottom w:w="0" w:type="dxa"/>
            </w:tcMar>
            <w:vAlign w:val="center"/>
          </w:tcPr>
          <w:p>
            <w:pPr>
              <w:pStyle w:val="TableContents"/>
              <w:bidi w:val="0"/>
              <w:spacing w:before="0" w:after="283"/>
              <w:jc w:val="center"/>
              <w:rPr/>
            </w:pPr>
            <w:r>
              <w:rPr/>
              <w:t> </w:t>
            </w:r>
          </w:p>
        </w:tc>
        <w:tc>
          <w:tcPr>
            <w:tcW w:w="1766" w:type="dxa"/>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center"/>
              <w:rPr/>
            </w:pPr>
            <w:r>
              <w:rPr/>
              <w:t> </w:t>
            </w:r>
          </w:p>
        </w:tc>
        <w:tc>
          <w:tcPr>
            <w:tcW w:w="2048" w:type="dxa"/>
            <w:tcBorders>
              <w:bottom w:val="single" w:sz="12" w:space="0" w:color="000000"/>
            </w:tcBorders>
            <w:vAlign w:val="center"/>
          </w:tcPr>
          <w:p>
            <w:pPr>
              <w:pStyle w:val="TableContents"/>
              <w:bidi w:val="0"/>
              <w:spacing w:before="0" w:after="283"/>
              <w:jc w:val="center"/>
              <w:rPr>
                <w:b/>
              </w:rPr>
            </w:pPr>
            <w:r>
              <w:rPr>
                <w:b/>
              </w:rPr>
              <w:t>Nature</w:t>
            </w:r>
          </w:p>
        </w:tc>
        <w:tc>
          <w:tcPr>
            <w:tcW w:w="90" w:type="dxa"/>
            <w:tcBorders/>
            <w:tcMar>
              <w:bottom w:w="0" w:type="dxa"/>
            </w:tcMar>
            <w:vAlign w:val="center"/>
          </w:tcPr>
          <w:p>
            <w:pPr>
              <w:pStyle w:val="TableContents"/>
              <w:bidi w:val="0"/>
              <w:spacing w:before="0" w:after="283"/>
              <w:jc w:val="center"/>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For the Year</w:t>
              <w:br/>
              <w:t>Ended</w:t>
              <w:br/>
              <w:t>March 31,</w:t>
              <w:br/>
              <w:t>2026</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For the Year</w:t>
              <w:br/>
              <w:t xml:space="preserve">Ended </w:t>
              <w:br/>
              <w:t>March 31,</w:t>
              <w:br/>
              <w:t>2025</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20" w:type="dxa"/>
            <w:gridSpan w:val="2"/>
            <w:tcBorders>
              <w:bottom w:val="single" w:sz="12" w:space="0" w:color="000000"/>
            </w:tcBorders>
            <w:vAlign w:val="center"/>
          </w:tcPr>
          <w:p>
            <w:pPr>
              <w:pStyle w:val="TableContents"/>
              <w:bidi w:val="0"/>
              <w:spacing w:before="0" w:after="283"/>
              <w:jc w:val="center"/>
              <w:rPr>
                <w:b/>
              </w:rPr>
            </w:pPr>
            <w:r>
              <w:rPr>
                <w:b/>
              </w:rPr>
              <w:t>For the Year</w:t>
              <w:br/>
              <w:t xml:space="preserve">Ended </w:t>
              <w:br/>
              <w:t>March 31,</w:t>
              <w:br/>
              <w:t>2024</w:t>
            </w:r>
          </w:p>
        </w:tc>
        <w:tc>
          <w:tcPr>
            <w:tcW w:w="139" w:type="dxa"/>
            <w:tcBorders/>
            <w:tcMar>
              <w:bottom w:w="0" w:type="dxa"/>
            </w:tcMar>
            <w:vAlign w:val="center"/>
          </w:tcPr>
          <w:p>
            <w:pPr>
              <w:pStyle w:val="TableContents"/>
              <w:bidi w:val="0"/>
              <w:spacing w:before="0" w:after="283"/>
              <w:jc w:val="center"/>
              <w:rPr/>
            </w:pPr>
            <w:r>
              <w:rPr/>
              <w:t> </w:t>
            </w:r>
          </w:p>
        </w:tc>
      </w:tr>
      <w:tr>
        <w:trPr/>
        <w:tc>
          <w:tcPr>
            <w:tcW w:w="166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04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0" w:type="dxa"/>
            <w:gridSpan w:val="2"/>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r>
      <w:tr>
        <w:trPr/>
        <w:tc>
          <w:tcPr>
            <w:tcW w:w="1662" w:type="dxa"/>
            <w:tcBorders/>
            <w:shd w:fill="CCEEFF" w:val="clear"/>
            <w:tcMar>
              <w:bottom w:w="0" w:type="dxa"/>
            </w:tcMar>
            <w:vAlign w:val="center"/>
          </w:tcPr>
          <w:p>
            <w:pPr>
              <w:pStyle w:val="TableContents"/>
              <w:bidi w:val="0"/>
              <w:spacing w:before="0" w:after="283"/>
              <w:jc w:val="left"/>
              <w:rPr/>
            </w:pPr>
            <w:r>
              <w:rPr/>
              <w:t>SEGA Corporation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center"/>
              <w:rPr/>
            </w:pPr>
            <w:r>
              <w:rPr/>
              <w:t>Shareholder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8" w:type="dxa"/>
            <w:tcBorders/>
            <w:shd w:fill="CCEEFF" w:val="clear"/>
            <w:tcMar>
              <w:bottom w:w="0" w:type="dxa"/>
            </w:tcMar>
            <w:vAlign w:val="center"/>
          </w:tcPr>
          <w:p>
            <w:pPr>
              <w:pStyle w:val="TableContents"/>
              <w:bidi w:val="0"/>
              <w:spacing w:before="0" w:after="283"/>
              <w:jc w:val="center"/>
              <w:rPr/>
            </w:pPr>
            <w:r>
              <w:rPr/>
              <w:t>Purchase of console game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148" w:type="dxa"/>
            <w:tcBorders/>
            <w:shd w:fill="CCEEFF" w:val="clear"/>
            <w:tcMar>
              <w:bottom w:w="0" w:type="dxa"/>
            </w:tcMar>
            <w:vAlign w:val="center"/>
          </w:tcPr>
          <w:p>
            <w:pPr>
              <w:pStyle w:val="TableContents"/>
              <w:bidi w:val="0"/>
              <w:spacing w:before="0" w:after="283"/>
              <w:jc w:val="right"/>
              <w:rPr/>
            </w:pPr>
            <w:r>
              <w:rPr/>
              <w:t>11,501,519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148" w:type="dxa"/>
            <w:tcBorders/>
            <w:shd w:fill="CCEEFF" w:val="clear"/>
            <w:tcMar>
              <w:bottom w:w="0" w:type="dxa"/>
            </w:tcMar>
            <w:vAlign w:val="center"/>
          </w:tcPr>
          <w:p>
            <w:pPr>
              <w:pStyle w:val="TableContents"/>
              <w:bidi w:val="0"/>
              <w:spacing w:before="0" w:after="283"/>
              <w:jc w:val="right"/>
              <w:rPr/>
            </w:pPr>
            <w:r>
              <w:rPr/>
              <w:t>15,596,454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148" w:type="dxa"/>
            <w:tcBorders/>
            <w:shd w:fill="CCEEFF" w:val="clear"/>
            <w:tcMar>
              <w:bottom w:w="0" w:type="dxa"/>
            </w:tcMar>
            <w:vAlign w:val="center"/>
          </w:tcPr>
          <w:p>
            <w:pPr>
              <w:pStyle w:val="TableContents"/>
              <w:bidi w:val="0"/>
              <w:spacing w:before="0" w:after="283"/>
              <w:jc w:val="right"/>
              <w:rPr/>
            </w:pPr>
            <w:r>
              <w:rPr/>
              <w:t>17,578,879</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662" w:type="dxa"/>
            <w:tcBorders/>
            <w:shd w:fill="FFFFFF" w:val="clear"/>
            <w:tcMar>
              <w:bottom w:w="0" w:type="dxa"/>
            </w:tcMar>
            <w:vAlign w:val="center"/>
          </w:tcPr>
          <w:p>
            <w:pPr>
              <w:pStyle w:val="TableContents"/>
              <w:bidi w:val="0"/>
              <w:spacing w:before="0" w:after="283"/>
              <w:jc w:val="left"/>
              <w:rPr/>
            </w:pPr>
            <w:r>
              <w:rPr/>
              <w:t>Tan Jian Hao</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6" w:type="dxa"/>
            <w:tcBorders/>
            <w:shd w:fill="FFFFFF" w:val="clear"/>
            <w:tcMar>
              <w:bottom w:w="0" w:type="dxa"/>
            </w:tcMar>
            <w:vAlign w:val="center"/>
          </w:tcPr>
          <w:p>
            <w:pPr>
              <w:pStyle w:val="TableContents"/>
              <w:bidi w:val="0"/>
              <w:spacing w:before="0" w:after="283"/>
              <w:jc w:val="center"/>
              <w:rPr/>
            </w:pPr>
            <w:r>
              <w:rPr/>
              <w:t>CEO of Titan Digital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48" w:type="dxa"/>
            <w:tcBorders/>
            <w:shd w:fill="FFFFFF" w:val="clear"/>
            <w:tcMar>
              <w:bottom w:w="0" w:type="dxa"/>
            </w:tcMar>
            <w:vAlign w:val="center"/>
          </w:tcPr>
          <w:p>
            <w:pPr>
              <w:pStyle w:val="TableContents"/>
              <w:bidi w:val="0"/>
              <w:spacing w:before="0" w:after="283"/>
              <w:jc w:val="center"/>
              <w:rPr/>
            </w:pPr>
            <w:r>
              <w:rPr/>
              <w:t>Content creation for social media advertising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1148" w:type="dxa"/>
            <w:tcBorders>
              <w:bottom w:val="single" w:sz="12" w:space="0" w:color="000000"/>
            </w:tcBorders>
            <w:shd w:fill="FFFFFF" w:val="clear"/>
            <w:vAlign w:val="center"/>
          </w:tcPr>
          <w:p>
            <w:pPr>
              <w:pStyle w:val="TableContents"/>
              <w:bidi w:val="0"/>
              <w:spacing w:before="0" w:after="283"/>
              <w:jc w:val="right"/>
              <w:rPr/>
            </w:pPr>
            <w:r>
              <w:rPr/>
              <w:t>1,291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1148" w:type="dxa"/>
            <w:tcBorders>
              <w:bottom w:val="single" w:sz="12" w:space="0" w:color="000000"/>
            </w:tcBorders>
            <w:shd w:fill="FFFFFF" w:val="clear"/>
            <w:vAlign w:val="center"/>
          </w:tcPr>
          <w:p>
            <w:pPr>
              <w:pStyle w:val="TableContents"/>
              <w:bidi w:val="0"/>
              <w:spacing w:before="0" w:after="283"/>
              <w:jc w:val="right"/>
              <w:rPr/>
            </w:pPr>
            <w:r>
              <w:rPr/>
              <w:t>237,311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1148" w:type="dxa"/>
            <w:tcBorders>
              <w:bottom w:val="single" w:sz="12" w:space="0" w:color="000000"/>
            </w:tcBorders>
            <w:shd w:fill="FFFFFF" w:val="clear"/>
            <w:vAlign w:val="center"/>
          </w:tcPr>
          <w:p>
            <w:pPr>
              <w:pStyle w:val="TableContents"/>
              <w:bidi w:val="0"/>
              <w:spacing w:before="0" w:after="283"/>
              <w:jc w:val="right"/>
              <w:rPr/>
            </w:pPr>
            <w:r>
              <w:rPr/>
              <w:t>667,336</w:t>
            </w:r>
          </w:p>
        </w:tc>
        <w:tc>
          <w:tcPr>
            <w:tcW w:w="139" w:type="dxa"/>
            <w:tcBorders/>
            <w:shd w:fill="FFFFFF" w:val="clear"/>
            <w:tcMar>
              <w:bottom w:w="0" w:type="dxa"/>
            </w:tcMar>
            <w:vAlign w:val="center"/>
          </w:tcPr>
          <w:p>
            <w:pPr>
              <w:pStyle w:val="TableContents"/>
              <w:bidi w:val="0"/>
              <w:spacing w:before="0" w:after="283"/>
              <w:jc w:val="left"/>
              <w:rPr/>
            </w:pPr>
            <w:r>
              <w:rPr/>
              <w:t> </w:t>
            </w:r>
          </w:p>
        </w:tc>
      </w:tr>
      <w:tr>
        <w:trPr/>
        <w:tc>
          <w:tcPr>
            <w:tcW w:w="1662"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48" w:type="dxa"/>
            <w:tcBorders>
              <w:bottom w:val="double" w:sz="10" w:space="0" w:color="000000"/>
            </w:tcBorders>
            <w:shd w:fill="CCEEFF" w:val="clear"/>
            <w:vAlign w:val="center"/>
          </w:tcPr>
          <w:p>
            <w:pPr>
              <w:pStyle w:val="TableContents"/>
              <w:bidi w:val="0"/>
              <w:spacing w:before="0" w:after="283"/>
              <w:jc w:val="right"/>
              <w:rPr>
                <w:b/>
              </w:rPr>
            </w:pPr>
            <w:r>
              <w:rPr>
                <w:b/>
              </w:rPr>
              <w:t>11,502,810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48" w:type="dxa"/>
            <w:tcBorders>
              <w:bottom w:val="double" w:sz="10" w:space="0" w:color="000000"/>
            </w:tcBorders>
            <w:shd w:fill="CCEEFF" w:val="clear"/>
            <w:vAlign w:val="center"/>
          </w:tcPr>
          <w:p>
            <w:pPr>
              <w:pStyle w:val="TableContents"/>
              <w:bidi w:val="0"/>
              <w:spacing w:before="0" w:after="283"/>
              <w:jc w:val="right"/>
              <w:rPr>
                <w:b/>
              </w:rPr>
            </w:pPr>
            <w:r>
              <w:rPr>
                <w:b/>
              </w:rPr>
              <w:t>15,833,765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48" w:type="dxa"/>
            <w:tcBorders>
              <w:bottom w:val="double" w:sz="10" w:space="0" w:color="000000"/>
            </w:tcBorders>
            <w:shd w:fill="CCEEFF" w:val="clear"/>
            <w:vAlign w:val="center"/>
          </w:tcPr>
          <w:p>
            <w:pPr>
              <w:pStyle w:val="TableContents"/>
              <w:bidi w:val="0"/>
              <w:spacing w:before="0" w:after="283"/>
              <w:jc w:val="right"/>
              <w:rPr>
                <w:b/>
              </w:rPr>
            </w:pPr>
            <w:r>
              <w:rPr>
                <w:b/>
              </w:rPr>
              <w:t>18,246,215</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was established under the laws of Cayman Islands on September 8, 2023, and authorized to issue 500,000,000 shares with a par value of $$0.0001. On February 13, 2024, the Company completed its Reorganization under GCL Global with a sequential two-step transaction (see Note 1). On February 13, 2025, the Company completed its reverse recapitalization under Pubco through consummating the Business Combination contemplated by the Merger Agreement (See Note 3). All of the outstanding ordinary shares is presented on the basis as if the reverse recapitalization under Pubco became effective as of the beginning of the first period presented on April 1, 2022. The shares and corresponding capital amounts and all per share data related to GCL Global’s outstanding ordinary shares prior to the Reverse Recapitalization in the accompanying consolidated financial statements have been retroactively adjusted using the Exchange Ratio of 1 for 4.0536.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Company issued 625,000 ordinary shares in connection with a private placement pursuant to a subscription agreement entered into with an accredited investor. Under the subscription agreement, the investor subscribed for the ordinary shares at a purchase price of $4.00 per share for a total consideration of $2,500,000.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Mezzanine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217,724 ordinary shares were reclassified from mezzanine equity to permanent equity in connection with the settlement of the Tranche 1 share consideration related to the acquisition of Martiangear.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Contingent Consideration from 2Game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Business Combination, the Company collectively issued an additional 1,059,628 ordinary shares to the minority shareholders of 2Game to settle tranche 2 of the contingent consideration in connection with the 2Game acquisition. On October 15, 2025, the Company’s Compensation Committee recommended, and the Board approved of, a one-time grant of 547,183 ordinary shares under its Equity Incentive Plan to the three 2Game directors who are also the minority shareholders of 2Game in recognition of their continued contributions to 2Game.As of March 31, 2026, all contingent consideration in connection with the 2Game acquisition has been settled. (See Note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convertible notes issued under the Note Purchase Agreements with an aggregate principal amount of $33,025,000 were converted into 7,338,887 ordinary shares of the Company. In addition, 2,201,665 ordinary shares of the Company were issued and placed into an escrow account for three years as bonus shares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an aggregate principal amount of $1,278,999 of the Company’s convertible notes, together with the derivative liability associated with the conversion feature of $1,502,937 and accrued interest payable of $10,041 were converted into 2,645,024 ordinary shares of the Company (see Note 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Release of Bonus Shares from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Note Purchase Agreements (Note 4), 2,201,665 Bonus Shares were issued and placed into an escrow account upon the closing of the Business Combination. On March 26, 2026, all 2,201,665 Bonus Shares were released from escrow upon satisfaction of the applicable release conditions under the Note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25"/>
        <w:gridCol w:w="2135"/>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Consultancy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2022, the Company entered into two separate SPAC listing consultancy agreements (collectively, the “Consultancy Agreements”) with two third-party consultants (the “Consultants”) to assist in facilitating the Business Combination. Pursuant to the Consultancy Agreements, the Company agreed to compensate the Consultants an aggregate amount of $20,000,000, payable, at the sole discretion of the Company, in either cash or equity upon the closing of the Business Combination. On February 13, 2025, upon the closing of the Business Combination, the Company elected to settle the obligation by issuing an aggregate of 2,000,000 ordinary shares to the Consultants.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services provided by the Consultants were directly related to the Business Combination and contingent upon its successful closing, the Company determined that the associated stock-based compensation should be accounted for as a direct and incremental cost of the transaction. Accordingly, the fair value of the shares issued was recorded as a reduction to additional paid-in capital in accordance with ASC 340-10-S99-1, “Expenses of Offering.”</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Marketing Services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Company entered into a marketing services agreement with Outside The Box Capital Inc.(“Marketing Consultant”) to provide investor awareness and marketing support services for a six-month period ending October 28, 2025. The services included strategic planning, distribution of Company-approved messaging across various digital and social media platforms, and content creation to enhance investor engagement, and expressly exclude investor solicitation, securities transactions, or broker-dealer activities. In consideration for the services, the Company agreed to pay cash compensation of $50,000 and issued ordinary shares with a value of $100,000, with the number of shares determined based on the volume-weighted average price of the Company’s ordinary shares over the ten trading days immediately preceding the date of the agreement. On June 26, 2025, the Company issued 41,853 ordinary shares to the Marketing Consultant in satisfaction of the equity portion of the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upon the consummation of the Business Combination, the Company issued an aggregate total of 6,276,394 ordinary shares to RFAC Sponsor, RFAC public shareholders, Early Bird Capital and certain investors designated by RFAC Sponsor.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number of the Company’s ordinary shares issued upon the Reverse Recapitalization: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80"/>
        <w:gridCol w:w="90"/>
        <w:gridCol w:w="90"/>
        <w:gridCol w:w="1010"/>
        <w:gridCol w:w="135"/>
      </w:tblGrid>
      <w:tr>
        <w:trPr/>
        <w:tc>
          <w:tcPr>
            <w:tcW w:w="8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w:t>
              <w:br/>
              <w:t>Share</w:t>
            </w:r>
          </w:p>
        </w:tc>
        <w:tc>
          <w:tcPr>
            <w:tcW w:w="135" w:type="dxa"/>
            <w:tcBorders/>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RFAC’s ordinary shares outstanding prior to Reverse Recapitalization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3,126,396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880" w:type="dxa"/>
            <w:tcBorders/>
            <w:shd w:fill="FFFFFF" w:val="clear"/>
            <w:vAlign w:val="center"/>
          </w:tcPr>
          <w:p>
            <w:pPr>
              <w:pStyle w:val="TableContents"/>
              <w:bidi w:val="0"/>
              <w:spacing w:before="0" w:after="283"/>
              <w:jc w:val="left"/>
              <w:rPr/>
            </w:pPr>
            <w:r>
              <w:rPr/>
              <w:t>Ordinary shares issued at the Closing as an incentive to certain investors designated by RFAC Sponsor in connection with Transaction Financing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2,000,000</w:t>
            </w:r>
          </w:p>
        </w:tc>
        <w:tc>
          <w:tcPr>
            <w:tcW w:w="135" w:type="dxa"/>
            <w:tcBorders/>
            <w:shd w:fill="FFFFFF" w:val="clear"/>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Conversion of RFAC rights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1,149,998</w:t>
            </w:r>
          </w:p>
        </w:tc>
        <w:tc>
          <w:tcPr>
            <w:tcW w:w="135"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Total shares issued upon the Reverse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6,276,394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Recognition of non-controlling interests from acquisition of subsidiaries</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25"/>
        <w:gridCol w:w="3305"/>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Non-controlling interest in Martiangear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Titan Digital sold its entire equity interest in Martiangear to GCL Global SG for total consideration of SGD10. As a result, the Company increased its equity interest in Martiangear to 100% and derecognized $44,134 of non-controlling interest, while the same amount was recorded as a decrease to additional paid-in capital.</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Non-controlling interest in 2Game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GCL Global SG acquired an additional 10% equity interest in 2Game for total cash consideration of $1,200,000. As a result, GCL Global SG increased its ownership interest in 2Game from 51% to 61%, and $782,828 of non-controlling interest was derecognized. The difference of $148,013 was recorded as a decrease to additional paid-in capital. In addition, the Company recognized a derivative asset related to a contractual buy-back option and obligation (“Buy-Back Feature”) embedded in the agreement. Under the terms of the agreement, the Company has the sole discretion to exercise the buy-back option or may enforce a buy-back obligation requiring the minority shareholders of 2Game to repurchase the acquired shares at a specified premium if certain financial targets are not met within the twelve months ended March 31, 2026. In accordance with ASC 815-40 “Derivatives and Hedging,” the Company determined that the Buy-Back Feature met the definition of a derivative, and therefore need to bifurcate and separately accounted for. As a result, the Buy-Back feature is recognized as a derivative asset, measured initially and subsequently at fair value, with changes in fair value recognized in the statements of operations and comprehensive loss in each reporting period until the obligation is settled or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fair value of the Buy-Back Feature was estimated using a forward pricing model, with the underlying equity value determined using a discounted cash flow ("DCF") analysis. As of the valuation date, the Company had not achieved the specified performance targets; therefore, the Buyback Obligation was valued based on the contractual repurchase terms, using the forward pricing model and market-based inputs, including the risk-free interest rate and the remaining contractual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valuation of fair value of the Buy-Back Feature was performed using a weighted average probability scenario analysis, incorporating two mutually exclusive outcomes: (i) if the performance targets are not met, the fair value was calculated using a forward pricing model; and (ii) if the performance targets are met, the fair value was estimated using the Black-Scholes option pricing model. A probability of 50% was assigned to each scenario.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fair value of the Buy-Back Feature was determined to be $326,766. Key assumptions included a risk-free rate of 3.5% to 3.85%, 0.5 year to 1.5 year time to expiration, and a volatility estimate of approximately 57%. As of March 31, 2025, the fair value of the Buy-Back Feature was determined to be $269,119. Key assumptions included a risk-free rate of 4.11%, a one-year time to expiration, and a volatility estimate of approximately 58%. Since the closing date of the transaction (March 19, 2025) is near the valuation date (March 31, 2025), the fair value at initial recognition and at period-end were deemed to be similar, and therefore, no change in fair value was recorded. The resulting valuation reflects Level 3 inputs under the fair value hierarchy due to the use of significant unobservable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adjustments to additional paid-in capital were made in accordance with ASC 810-10-45-23, “Change in a parent’s ownership interest in a subsidiary,” as there was no change in control.</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25"/>
        <w:gridCol w:w="3215"/>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Non-controlling interest in Ban Leong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acquisition date of the Ban Leong acquisition, the remaining portion of the total offer consideration was utilized to acquire the remaining equity interests in Ban Leong as additional acceptances were received, for an aggregate cash consideration of $24,806,735. (See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25"/>
        <w:gridCol w:w="3395"/>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9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in 4Divinity SG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January 15, 2026 and March 5, 2026, the Company’s subsidiary, 4Divinity SG, entered into share subscription agreements with an accredited investor, pursuant to which the investor subscribed for 5,200,000 newly issued ordinary shares at a subscription price of $2.50 per share and additional newly issued ordinary shares at a subscription price of $2.75 per share, for total gross proceeds of $23,000,000. Upon completion of the share subscriptions, the accredited investor obtained an 8.1% non-controlling equity interest in 4Divinity SG. As of March 31, 2026, the Company had received the full subscription proceeds of $23,000,000. The issuance of the additional shares was accounted for as an equity transaction in accordance with ASC 810-10-45-23, as the Company retained control of 4Divinity SG. Accordingly, the carrying amount of non-controlling interest was adjusted by $1,988,875 to reflect the change in ownership interest. The excess of the consideration received of $23,000,000 over the adjustment to the non-controlling interest of $1,988,875, amounting to $21,011,125, was recognized in additional paid-in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Public and Private Placement Warrant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recapitalization, the Company assumed 16,500,000. Warrants outstanding from RFAC, consisting of 11,500,000 Public Warrants and 5,000,000 Private Placement Warrants. Both the Public Warrants and Private Placement Warrants met the criteria for equity classification. As the fair value of the Warrants increased upon replacement in connection with the Business Combination, the Company recognized $12,014 as a deemed dividend paid to the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only be exercised for a whole number of shares at an exercise price of $11.50 per share. No fractional warrants will be issued upon separation of the Units and only whole warrants will trade. The Warrants will become exercisable 30 days after the consummation of a Business Combination. The Warrants will expire five years from the consummation of a Business Combination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Warrants:</w:t>
      </w:r>
    </w:p>
    <w:p>
      <w:pPr>
        <w:pStyle w:val="TextBody"/>
        <w:bidi w:val="0"/>
        <w:spacing w:before="0" w:after="0"/>
        <w:ind w:left="0" w:right="0" w:hanging="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20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68"/>
        <w:gridCol w:w="200"/>
        <w:gridCol w:w="25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68"/>
        <w:gridCol w:w="200"/>
        <w:gridCol w:w="4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time after the warrants become exercisable;</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68"/>
        <w:gridCol w:w="200"/>
        <w:gridCol w:w="70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to each warrant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reported last sale price of the ordinary shares equals or exceeds $18.00 per share (as adjusted for stock splits, stock dividends, reorganizations, and recapitalizations) for any 20 trading days within a 30-trading day period commencing at any time after the warrants become exercisable and ending on the third trading day prior to the notice of redemption to warrant 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there is a current registration statement in effect with respect to the Ordinary shares underlying such warrants.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Ordinary share issuable upon exercise of the warrants may be adjusted in certain circumstances including in the event of a stock dividend, or recapitalization, reorganization, merger or consolidation. However, except as described below, the warrants will not be adjusted for issuance of Ordinary share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Ordinary share or equity-linked securities, for capital raising purposes in connection with the closing of a Business Combination at an issue price or effective issue price of less than $9.20 per share of Ordinary share (with such issue price or effective issue price to be determined in good faith by the Company’s board of directors, and, in the case of any such issuance to the Sponsor, our initial stockholders or such affiliates, without taking into account any founder shares held by the Sponsor, initial stockholders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 during the 20 trading day period starting on the trading day after the day on which the Company completes a Business Combination (such price, the “Market Value”) is below $9.20 per share, the exercise price of the warrants will be adjusted (to the nearest cent) to be equal to 115% of the greater of the Market Value or the Newly Issued Price, and the $18.00 per share redemption trigger price will be adjusted (to the nearest cent) to be equal to 180% of the greater of the Market Value or the Newly Issued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warrants activity is as follows:</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355"/>
        <w:gridCol w:w="90"/>
        <w:gridCol w:w="91"/>
        <w:gridCol w:w="994"/>
        <w:gridCol w:w="90"/>
        <w:gridCol w:w="90"/>
        <w:gridCol w:w="90"/>
        <w:gridCol w:w="980"/>
        <w:gridCol w:w="90"/>
        <w:gridCol w:w="198"/>
        <w:gridCol w:w="662"/>
        <w:gridCol w:w="90"/>
        <w:gridCol w:w="1070"/>
        <w:gridCol w:w="135"/>
      </w:tblGrid>
      <w:tr>
        <w:trPr/>
        <w:tc>
          <w:tcPr>
            <w:tcW w:w="1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br/>
              <w:t>Outstanding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w:t>
              <w:br/>
              <w:t>Shares</w:t>
              <w:br/>
              <w:t>Issuable</w:t>
            </w:r>
          </w:p>
        </w:tc>
        <w:tc>
          <w:tcPr>
            <w:tcW w:w="9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w:t>
              <w:br/>
              <w:t>Price</w:t>
            </w:r>
          </w:p>
        </w:tc>
        <w:tc>
          <w:tcPr>
            <w:tcW w:w="90" w:type="dxa"/>
            <w:tcBorders/>
            <w:vAlign w:val="center"/>
          </w:tcPr>
          <w:p>
            <w:pPr>
              <w:pStyle w:val="TableContents"/>
              <w:bidi w:val="0"/>
              <w:spacing w:before="0" w:after="283"/>
              <w:jc w:val="center"/>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Remaining</w:t>
              <w:br/>
              <w:t>Contractual</w:t>
              <w:br/>
              <w:t>Life</w:t>
            </w:r>
          </w:p>
        </w:tc>
        <w:tc>
          <w:tcPr>
            <w:tcW w:w="135" w:type="dxa"/>
            <w:tcBorders/>
            <w:vAlign w:val="center"/>
          </w:tcPr>
          <w:p>
            <w:pPr>
              <w:pStyle w:val="TableContents"/>
              <w:bidi w:val="0"/>
              <w:spacing w:before="0" w:after="283"/>
              <w:jc w:val="center"/>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31, 2024</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13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31, 2025</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31, 2026</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16,500,000</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is incorporated in the Cayman Islands and conducts operations through subsidiaries in multiple jurisdictions as described in Note 1, management has determined that Singapore represents the Company’s primary tax jurisdiction because the Company’s principal management and operational activities are conducted through its Singapore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Singapore, are subject to Singapore Profits Tax on the taxable income as reported in its statutory financial statements adjusted in accordance with relevant Singapore tax laws. The applicable corporate income tax rate is 17% in Singapore, with 75% of the first $7,474 (SGD 10,000) taxable income and 50% of the next $142,001 (SGD 190,000) taxable income are exempted from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is incorporated in Cayman Islands and is not subject to tax on income or capital gains under current Cayman Island law. Additionally, upon payments of dividends to the shareholders, no Cayman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BVI is incorporated in British Virgin Islands and are not subject to tax on income or capital gains under current British Virgin Island law. Additionally, upon payments of dividends to the shareholders, no British Island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Hong Kong, are subject to Hong Kong Profits Tax on the taxable income as reported in its statutory financial statements adjusted in accordance with relevant Hong Kong tax laws. Under the two-tiered profits tax rates regime, the first 2,000,000 Hong Kong Dollar (“HKD”) of profits of the qualifying group entity will be taxed at 8.25%, and profits above HKD2,000,000 will be taxed at 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Malaysia is governed by the income tax laws of Malaysia and the income tax provision in respect of operations in Malaysia is calculated at the applicable tax rates on the taxable income for the periods based on existing legislation, interpretations and practices in respect thereof. Under the Income Tax Act of Malaysia, enterprises that incorporated in Malaysia are usually subject to a unified 24% enterprise income tax rate while preferential tax rates, tax holidays and even tax exemption may be granted on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Brazil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Brazil is subject to Brazilian Corporate Income Tax (“IRPJ”). The IRPJ levied at a base rate of 15%, with an additional surtax of 10% applied to taxable income exceeding BRL 240,000 annually, resulting in an effective corporate income tax rate of up to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the United Kingdom is subject to UK Corporation Tax on taxable profits in accordance with UK tax legislation. The applicable statutory corporate income tax rate was 25% for the fiscal year ended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People’s Republic of China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the PRC are subject to PRC Enterprise Income Tax at a unified tax rate of 25% on their taxable income, as determined in accordance with relevant PRC tax laws and regulations. Preferential tax rates or exemptions may be available to certain qualified entities, subject to approval by local tax authorities.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 (United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Dubai is governed by the corporate tax regime established under UAE Federal Decree-Law No. 47 of 2022 on the Taxation of Corporations and Businesses. Effective from June 1, 2023, the UAE implemented a corporate tax regime at a standard rate of 9% on taxable income exceeding AED 375,000. Income up to this threshold is exempt from corporate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Thailand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Thailand is governed by the income tax laws of Thailand and the income tax provision in respect of operations in Thailand is calculated at the applicable tax rates on the taxable income for the periods based on existing legislation, interpretations and practices in respect thereof. The applicable corporate income tax rate is 20%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Japan is governed by the income tax laws of Japan, and the income tax provision related to operations in Japan is calculated at the applicable statutory tax rates on taxable income for the periods based on existing legislation, interpretations, and practices. The statutory corporate income tax rate in Japan is 23.2%, with additional local taxes, including enterprise tax and inhabitants’ tax, resulting in a higher effective tax rate that may vary depending on the level of taxable income and applicable local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Taiwan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Taiwan is governed by the income tax laws of Taiwan, and the income tax provision related to operations in Taiwan is calculated at the applicable statutory tax rates on taxable income for the periods based on existing legislation, interpretations, and practices. The applicable corporate income tax rate in Taiwan is 20% on taxable income. In addition, undistributed earnings may be subject to an additional tax in accordance with the applicable provisions of Taiwan’s Income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incorporated in the United States is subject to U.S. federal corporate income tax at a statutory rate of 21% on its taxable income, in accordance with the Internal Revenue Code. Additionally, the subsidiary may also be subject to state and local income taxes, which vary by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years ended March 31, 2026, 2025 and 2024 amounted to $239,753, $1,128,672 and $53,291,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Note 2, Recently Issued Accounting Standards, the Company has elected to prospectively adopt the guidance in ASU No. 2023-09, Income Taxes (Topic 740): Improvements to Income Taxes Disclosures, or ASU 2023-09. The following table presented the loss before income taxes for the year ended March 31, 2026 in accordance with the guidance in ASU No. 2023-09:</w:t>
      </w:r>
    </w:p>
    <w:p>
      <w:pPr>
        <w:pStyle w:val="TextBody"/>
        <w:bidi w:val="0"/>
        <w:spacing w:before="0" w:after="0"/>
        <w:ind w:left="0" w:right="0" w:firstLine="360"/>
        <w:jc w:val="both"/>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2735"/>
        <w:gridCol w:w="90"/>
        <w:gridCol w:w="170"/>
        <w:gridCol w:w="1205"/>
        <w:gridCol w:w="170"/>
      </w:tblGrid>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For the</w:t>
              <w:br/>
              <w:t>Year Ended</w:t>
              <w:br/>
              <w:t>March 31,</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Domestic (Singapore)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(3,937,034</w:t>
            </w:r>
          </w:p>
        </w:tc>
        <w:tc>
          <w:tcPr>
            <w:tcW w:w="17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Foreign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(22,026,434</w:t>
            </w:r>
          </w:p>
        </w:tc>
        <w:tc>
          <w:tcPr>
            <w:tcW w:w="170"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left"/>
              <w:rPr/>
            </w:pPr>
            <w:r>
              <w:rPr/>
              <w:t>Total loss before income tax</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(25,963,468</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 by jurisdiction for the years ended March 31, 2025 and 2024 are as following:</w:t>
      </w:r>
    </w:p>
    <w:p>
      <w:pPr>
        <w:pStyle w:val="TextBody"/>
        <w:bidi w:val="0"/>
        <w:spacing w:before="0" w:after="0"/>
        <w:ind w:left="0" w:right="0" w:firstLine="36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3635"/>
        <w:gridCol w:w="90"/>
        <w:gridCol w:w="170"/>
        <w:gridCol w:w="1010"/>
        <w:gridCol w:w="90"/>
        <w:gridCol w:w="90"/>
        <w:gridCol w:w="170"/>
        <w:gridCol w:w="1085"/>
        <w:gridCol w:w="170"/>
      </w:tblGrid>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March 31,</w:t>
            </w:r>
          </w:p>
        </w:tc>
        <w:tc>
          <w:tcPr>
            <w:tcW w:w="17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Singapore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3,681,089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(325,917</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Hong Kong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1,424,781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258,954</w:t>
            </w:r>
          </w:p>
        </w:tc>
        <w:tc>
          <w:tcPr>
            <w:tcW w:w="17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Malaysia and others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1,072,223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(1,840,702</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Total income (loss) before income tax</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6,178,093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(1,907,665</w:t>
            </w:r>
          </w:p>
        </w:tc>
        <w:tc>
          <w:tcPr>
            <w:tcW w:w="17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Note 2, Recently Issued Accounting Standards, the Company has elected to prospectively adopt the guidance in ASU No. 2023-09, Income Taxes (Topic 740): Improvements to Income Taxes Disclosures, or ASU 2023-09. The following table presented the significant components of the provision for income taxes for the year ended March 31, 2026 in accordance with the guidance in ASU No. 2023-09:</w:t>
      </w:r>
    </w:p>
    <w:p>
      <w:pPr>
        <w:pStyle w:val="TextBody"/>
        <w:bidi w:val="0"/>
        <w:spacing w:before="0" w:after="0"/>
        <w:ind w:left="0" w:right="0" w:hanging="0"/>
        <w:jc w:val="both"/>
        <w:rPr>
          <w:caps w:val="false"/>
          <w:smallCaps w:val="false"/>
        </w:rPr>
      </w:pPr>
      <w:r>
        <w:rPr>
          <w:caps w:val="false"/>
          <w:smallCaps w:val="false"/>
        </w:rPr>
        <w:t> </w:t>
      </w:r>
    </w:p>
    <w:tbl>
      <w:tblPr>
        <w:tblW w:w="4844" w:type="dxa"/>
        <w:jc w:val="left"/>
        <w:tblInd w:w="0" w:type="dxa"/>
        <w:tblLayout w:type="fixed"/>
        <w:tblCellMar>
          <w:top w:w="0" w:type="dxa"/>
          <w:left w:w="0" w:type="dxa"/>
          <w:bottom w:w="0" w:type="dxa"/>
          <w:right w:w="0" w:type="dxa"/>
        </w:tblCellMar>
      </w:tblPr>
      <w:tblGrid>
        <w:gridCol w:w="3290"/>
        <w:gridCol w:w="90"/>
        <w:gridCol w:w="262"/>
        <w:gridCol w:w="1032"/>
        <w:gridCol w:w="170"/>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For the</w:t>
              <w:br/>
              <w:t>Year Ended</w:t>
              <w:br/>
              <w:t>March 31,</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Current</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xml:space="preserve">$ </w:t>
            </w:r>
          </w:p>
        </w:tc>
        <w:tc>
          <w:tcPr>
            <w:tcW w:w="10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Domestic (Singapore)</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627,473</w:t>
            </w:r>
          </w:p>
        </w:tc>
        <w:tc>
          <w:tcPr>
            <w:tcW w:w="17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Foreign</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12,210</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current income tax expenses</w:t>
            </w:r>
          </w:p>
        </w:tc>
        <w:tc>
          <w:tcPr>
            <w:tcW w:w="9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639,683</w:t>
            </w:r>
          </w:p>
        </w:tc>
        <w:tc>
          <w:tcPr>
            <w:tcW w:w="17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Deferred</w:t>
            </w:r>
          </w:p>
        </w:tc>
        <w:tc>
          <w:tcPr>
            <w:tcW w:w="9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Domestic (Singapore)</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529,572</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Foreign</w:t>
            </w:r>
          </w:p>
        </w:tc>
        <w:tc>
          <w:tcPr>
            <w:tcW w:w="9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(929,503</w:t>
            </w:r>
          </w:p>
        </w:tc>
        <w:tc>
          <w:tcPr>
            <w:tcW w:w="17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Total deferred income tax benefit</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pPr>
            <w:r>
              <w:rPr/>
              <w:t>(399,931</w:t>
            </w:r>
          </w:p>
        </w:tc>
        <w:tc>
          <w:tcPr>
            <w:tcW w:w="17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 xml:space="preserve">Income taxes expenses </w:t>
            </w:r>
          </w:p>
        </w:tc>
        <w:tc>
          <w:tcPr>
            <w:tcW w:w="9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239,753</w:t>
            </w:r>
          </w:p>
        </w:tc>
        <w:tc>
          <w:tcPr>
            <w:tcW w:w="17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 for income taxes for the years ended March 31, 2025 and 2024 are as follows:</w:t>
      </w:r>
    </w:p>
    <w:p>
      <w:pPr>
        <w:pStyle w:val="TextBody"/>
        <w:bidi w:val="0"/>
        <w:spacing w:before="0" w:after="0"/>
        <w:ind w:left="0" w:right="0" w:firstLine="36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2585"/>
        <w:gridCol w:w="90"/>
        <w:gridCol w:w="170"/>
        <w:gridCol w:w="1010"/>
        <w:gridCol w:w="125"/>
        <w:gridCol w:w="90"/>
        <w:gridCol w:w="170"/>
        <w:gridCol w:w="905"/>
        <w:gridCol w:w="170"/>
      </w:tblGrid>
      <w:tr>
        <w:trPr/>
        <w:tc>
          <w:tcPr>
            <w:tcW w:w="2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17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1,362,520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723,160</w:t>
            </w:r>
          </w:p>
        </w:tc>
        <w:tc>
          <w:tcPr>
            <w:tcW w:w="17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Deferred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(233,848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(669,869</w:t>
            </w:r>
          </w:p>
        </w:tc>
        <w:tc>
          <w:tcPr>
            <w:tcW w:w="170"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1,128,672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53,291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Note 2, Recently Issued Accounting Standards, the Company has elected to prospectively adopt the guidance in ASU No. 2023-09, Income Taxes (Topic 740): Improvements to Income Taxes Disclosures, or ASU 2023-09. The following table reconciles Singapore statutory rates to the Company’s effective tax rate for the year ended March 31, 2026 in accordance with the guidance in ASU No. 2023-09:</w:t>
      </w:r>
    </w:p>
    <w:p>
      <w:pPr>
        <w:pStyle w:val="TextBody"/>
        <w:bidi w:val="0"/>
        <w:spacing w:before="0" w:after="0"/>
        <w:ind w:left="0" w:right="0" w:firstLine="360"/>
        <w:jc w:val="left"/>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625"/>
        <w:gridCol w:w="90"/>
        <w:gridCol w:w="100"/>
        <w:gridCol w:w="1208"/>
        <w:gridCol w:w="139"/>
        <w:gridCol w:w="100"/>
        <w:gridCol w:w="100"/>
        <w:gridCol w:w="606"/>
        <w:gridCol w:w="365"/>
      </w:tblGrid>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 2026</w:t>
            </w:r>
          </w:p>
        </w:tc>
        <w:tc>
          <w:tcPr>
            <w:tcW w:w="36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06" w:type="dxa"/>
            <w:gridSpan w:val="2"/>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ind w:left="0" w:right="0" w:hanging="200"/>
              <w:jc w:val="left"/>
              <w:rPr/>
            </w:pPr>
            <w:r>
              <w:rPr/>
              <w:t> </w:t>
            </w:r>
          </w:p>
        </w:tc>
      </w:tr>
      <w:tr>
        <w:trPr/>
        <w:tc>
          <w:tcPr>
            <w:tcW w:w="4625" w:type="dxa"/>
            <w:tcBorders/>
            <w:shd w:fill="CCEEFF" w:val="clear"/>
            <w:vAlign w:val="center"/>
          </w:tcPr>
          <w:p>
            <w:pPr>
              <w:pStyle w:val="TableContents"/>
              <w:bidi w:val="0"/>
              <w:spacing w:before="0" w:after="283"/>
              <w:jc w:val="left"/>
              <w:rPr/>
            </w:pPr>
            <w:r>
              <w:rPr/>
              <w:t>Singapore statutory income tax rate</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(4,413,789</w:t>
            </w:r>
          </w:p>
        </w:tc>
        <w:tc>
          <w:tcPr>
            <w:tcW w:w="13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17.0</w:t>
            </w:r>
          </w:p>
        </w:tc>
        <w:tc>
          <w:tcPr>
            <w:tcW w:w="365"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Foreign tax effects:</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ind w:left="0" w:right="0" w:hanging="200"/>
              <w:jc w:val="left"/>
              <w:rPr/>
            </w:pPr>
            <w:r>
              <w:rPr/>
              <w:t> </w:t>
            </w:r>
          </w:p>
        </w:tc>
      </w:tr>
      <w:tr>
        <w:trPr/>
        <w:tc>
          <w:tcPr>
            <w:tcW w:w="4625" w:type="dxa"/>
            <w:tcBorders/>
            <w:shd w:fill="CCEEFF" w:val="clear"/>
            <w:vAlign w:val="center"/>
          </w:tcPr>
          <w:p>
            <w:pPr>
              <w:pStyle w:val="TableContents"/>
              <w:bidi w:val="0"/>
              <w:spacing w:before="0" w:after="283"/>
              <w:jc w:val="left"/>
              <w:rPr/>
            </w:pPr>
            <w:r>
              <w:rPr/>
              <w:t>Foreign tax effects-Cayman</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3,103,039</w:t>
            </w:r>
          </w:p>
        </w:tc>
        <w:tc>
          <w:tcPr>
            <w:tcW w:w="1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(12.0</w:t>
            </w:r>
          </w:p>
        </w:tc>
        <w:tc>
          <w:tcPr>
            <w:tcW w:w="365"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Foreign tax effects-Others</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(3,560</w:t>
            </w:r>
          </w:p>
        </w:tc>
        <w:tc>
          <w:tcPr>
            <w:tcW w:w="13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pPr>
            <w:r>
              <w:rPr/>
              <w:t>(0.0</w:t>
            </w:r>
          </w:p>
        </w:tc>
        <w:tc>
          <w:tcPr>
            <w:tcW w:w="365"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pPr>
            <w:r>
              <w:rPr/>
              <w:t>Nontaxable or non-deductible items:</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ind w:left="0" w:right="0" w:hanging="200"/>
              <w:jc w:val="left"/>
              <w:rPr/>
            </w:pPr>
            <w:r>
              <w:rPr/>
              <w:t> </w:t>
            </w:r>
          </w:p>
        </w:tc>
      </w:tr>
      <w:tr>
        <w:trPr/>
        <w:tc>
          <w:tcPr>
            <w:tcW w:w="4625" w:type="dxa"/>
            <w:tcBorders/>
            <w:shd w:fill="FFFFFF" w:val="clear"/>
            <w:vAlign w:val="center"/>
          </w:tcPr>
          <w:p>
            <w:pPr>
              <w:pStyle w:val="TableContents"/>
              <w:bidi w:val="0"/>
              <w:spacing w:before="0" w:after="283"/>
              <w:jc w:val="left"/>
              <w:rPr/>
            </w:pPr>
            <w:r>
              <w:rPr/>
              <w:t>Change of fair value of contingent consideration</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181,103</w:t>
            </w:r>
          </w:p>
        </w:tc>
        <w:tc>
          <w:tcPr>
            <w:tcW w:w="13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pPr>
            <w:r>
              <w:rPr/>
              <w:t>(0.7</w:t>
            </w:r>
          </w:p>
        </w:tc>
        <w:tc>
          <w:tcPr>
            <w:tcW w:w="365"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396,081</w:t>
            </w:r>
          </w:p>
        </w:tc>
        <w:tc>
          <w:tcPr>
            <w:tcW w:w="1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(1.5</w:t>
            </w:r>
          </w:p>
        </w:tc>
        <w:tc>
          <w:tcPr>
            <w:tcW w:w="365"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Preferential tax exemption effect</w:t>
            </w:r>
          </w:p>
        </w:tc>
        <w:tc>
          <w:tcPr>
            <w:tcW w:w="9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17,132</w:t>
            </w:r>
          </w:p>
        </w:tc>
        <w:tc>
          <w:tcPr>
            <w:tcW w:w="13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pPr>
            <w:r>
              <w:rPr/>
              <w:t>(0.1</w:t>
            </w:r>
          </w:p>
        </w:tc>
        <w:tc>
          <w:tcPr>
            <w:tcW w:w="365" w:type="dxa"/>
            <w:tcBorders/>
            <w:shd w:fill="FFFFFF" w:val="clear"/>
            <w:vAlign w:val="center"/>
          </w:tcPr>
          <w:p>
            <w:pPr>
              <w:pStyle w:val="TableContents"/>
              <w:bidi w:val="0"/>
              <w:spacing w:before="0" w:after="283"/>
              <w:ind w:left="0" w:right="0" w:hanging="200"/>
              <w:jc w:val="left"/>
              <w:rPr/>
            </w:pPr>
            <w:r>
              <w:rPr/>
              <w:t>)%</w:t>
            </w:r>
          </w:p>
        </w:tc>
      </w:tr>
      <w:tr>
        <w:trPr/>
        <w:tc>
          <w:tcPr>
            <w:tcW w:w="4625"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959,747</w:t>
            </w:r>
          </w:p>
        </w:tc>
        <w:tc>
          <w:tcPr>
            <w:tcW w:w="1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6"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365" w:type="dxa"/>
            <w:tcBorders/>
            <w:shd w:fill="CCEEFF" w:val="clear"/>
            <w:vAlign w:val="center"/>
          </w:tcPr>
          <w:p>
            <w:pPr>
              <w:pStyle w:val="TableContents"/>
              <w:bidi w:val="0"/>
              <w:spacing w:before="0" w:after="283"/>
              <w:ind w:left="0" w:right="0" w:hanging="200"/>
              <w:jc w:val="left"/>
              <w:rPr/>
            </w:pPr>
            <w:r>
              <w:rPr/>
              <w:t>)%</w:t>
            </w:r>
          </w:p>
        </w:tc>
      </w:tr>
      <w:tr>
        <w:trPr/>
        <w:tc>
          <w:tcPr>
            <w:tcW w:w="4625" w:type="dxa"/>
            <w:tcBorders/>
            <w:shd w:fill="FFFFFF" w:val="clear"/>
            <w:vAlign w:val="center"/>
          </w:tcPr>
          <w:p>
            <w:pPr>
              <w:pStyle w:val="TableContents"/>
              <w:bidi w:val="0"/>
              <w:spacing w:before="0" w:after="283"/>
              <w:jc w:val="left"/>
              <w:rPr/>
            </w:pPr>
            <w:r>
              <w:rPr/>
              <w:t>Effective tax rate</w:t>
            </w:r>
          </w:p>
        </w:tc>
        <w:tc>
          <w:tcPr>
            <w:tcW w:w="9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double" w:sz="10" w:space="0" w:color="000000"/>
            </w:tcBorders>
            <w:shd w:fill="FFFFFF" w:val="clear"/>
            <w:tcMar>
              <w:bottom w:w="28" w:type="dxa"/>
            </w:tcMar>
            <w:vAlign w:val="center"/>
          </w:tcPr>
          <w:p>
            <w:pPr>
              <w:pStyle w:val="TableContents"/>
              <w:bidi w:val="0"/>
              <w:spacing w:before="0" w:after="283"/>
              <w:jc w:val="right"/>
              <w:rPr/>
            </w:pPr>
            <w:r>
              <w:rPr/>
              <w:t>239,753</w:t>
            </w:r>
          </w:p>
        </w:tc>
        <w:tc>
          <w:tcPr>
            <w:tcW w:w="13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6" w:type="dxa"/>
            <w:tcBorders>
              <w:bottom w:val="double" w:sz="10" w:space="0" w:color="000000"/>
            </w:tcBorders>
            <w:shd w:fill="FFFFFF" w:val="clear"/>
            <w:tcMar>
              <w:bottom w:w="28" w:type="dxa"/>
            </w:tcMar>
            <w:vAlign w:val="center"/>
          </w:tcPr>
          <w:p>
            <w:pPr>
              <w:pStyle w:val="TableContents"/>
              <w:bidi w:val="0"/>
              <w:spacing w:before="0" w:after="283"/>
              <w:jc w:val="right"/>
              <w:rPr/>
            </w:pPr>
            <w:r>
              <w:rPr/>
              <w:t>(0.9</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Singapore statutory rates to the Company’s effective tax rate for the years ended March 31, 2025 and 2024:</w:t>
      </w:r>
    </w:p>
    <w:p>
      <w:pPr>
        <w:pStyle w:val="TextBody"/>
        <w:bidi w:val="0"/>
        <w:spacing w:before="0" w:after="0"/>
        <w:ind w:left="0" w:right="0" w:firstLine="360"/>
        <w:jc w:val="left"/>
        <w:rPr>
          <w:caps w:val="false"/>
          <w:smallCaps w:val="false"/>
        </w:rPr>
      </w:pPr>
      <w:r>
        <w:rPr>
          <w:caps w:val="false"/>
          <w:smallCaps w:val="false"/>
        </w:rPr>
        <w:t> </w:t>
      </w:r>
    </w:p>
    <w:tbl>
      <w:tblPr>
        <w:tblW w:w="7332" w:type="dxa"/>
        <w:jc w:val="left"/>
        <w:tblInd w:w="0" w:type="dxa"/>
        <w:tblLayout w:type="fixed"/>
        <w:tblCellMar>
          <w:top w:w="0" w:type="dxa"/>
          <w:left w:w="0" w:type="dxa"/>
          <w:bottom w:w="0" w:type="dxa"/>
          <w:right w:w="0" w:type="dxa"/>
        </w:tblCellMar>
      </w:tblPr>
      <w:tblGrid>
        <w:gridCol w:w="4625"/>
        <w:gridCol w:w="90"/>
        <w:gridCol w:w="126"/>
        <w:gridCol w:w="660"/>
        <w:gridCol w:w="449"/>
        <w:gridCol w:w="126"/>
        <w:gridCol w:w="126"/>
        <w:gridCol w:w="765"/>
        <w:gridCol w:w="365"/>
      </w:tblGrid>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March 31,</w:t>
            </w:r>
          </w:p>
        </w:tc>
        <w:tc>
          <w:tcPr>
            <w:tcW w:w="36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4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6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86" w:type="dxa"/>
            <w:gridSpan w:val="2"/>
            <w:tcBorders/>
            <w:vAlign w:val="center"/>
          </w:tcPr>
          <w:p>
            <w:pPr>
              <w:pStyle w:val="TableContents"/>
              <w:bidi w:val="0"/>
              <w:spacing w:before="0" w:after="283"/>
              <w:jc w:val="center"/>
              <w:rPr/>
            </w:pPr>
            <w:r>
              <w:rPr/>
              <w:t> </w:t>
            </w:r>
          </w:p>
        </w:tc>
        <w:tc>
          <w:tcPr>
            <w:tcW w:w="449"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Singapore statutory income tax rate</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17.0</w:t>
            </w:r>
          </w:p>
        </w:tc>
        <w:tc>
          <w:tcPr>
            <w:tcW w:w="44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17.0</w:t>
            </w:r>
          </w:p>
        </w:tc>
        <w:tc>
          <w:tcPr>
            <w:tcW w:w="365"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pPr>
            <w:r>
              <w:rPr/>
              <w:t>Change of fair value of contingent consideration</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1.5</w:t>
            </w:r>
          </w:p>
        </w:tc>
        <w:tc>
          <w:tcPr>
            <w:tcW w:w="44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(2.5</w:t>
            </w:r>
          </w:p>
        </w:tc>
        <w:tc>
          <w:tcPr>
            <w:tcW w:w="365" w:type="dxa"/>
            <w:tcBorders/>
            <w:shd w:fill="FFFFFF" w:val="clear"/>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Tax rate difference outside Singapore (1)</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(4.2</w:t>
            </w:r>
          </w:p>
        </w:tc>
        <w:tc>
          <w:tcPr>
            <w:tcW w:w="44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(14.0</w:t>
            </w:r>
          </w:p>
        </w:tc>
        <w:tc>
          <w:tcPr>
            <w:tcW w:w="365"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pPr>
            <w:r>
              <w:rPr/>
              <w:t>Preferential tax exemption effect</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(0.2</w:t>
            </w:r>
          </w:p>
        </w:tc>
        <w:tc>
          <w:tcPr>
            <w:tcW w:w="44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1.0</w:t>
            </w:r>
          </w:p>
        </w:tc>
        <w:tc>
          <w:tcPr>
            <w:tcW w:w="365" w:type="dxa"/>
            <w:tcBorders/>
            <w:shd w:fill="FFFFFF" w:val="clear"/>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3.2</w:t>
            </w:r>
          </w:p>
        </w:tc>
        <w:tc>
          <w:tcPr>
            <w:tcW w:w="44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(0.1</w:t>
            </w:r>
          </w:p>
        </w:tc>
        <w:tc>
          <w:tcPr>
            <w:tcW w:w="365"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pPr>
            <w:r>
              <w:rPr/>
              <w:t>Others (2)</w:t>
            </w:r>
          </w:p>
        </w:tc>
        <w:tc>
          <w:tcPr>
            <w:tcW w:w="9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44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365" w:type="dxa"/>
            <w:tcBorders/>
            <w:shd w:fill="FFFFFF" w:val="clear"/>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Effective tax rate</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double" w:sz="10" w:space="0" w:color="000000"/>
            </w:tcBorders>
            <w:shd w:fill="CCEEFF" w:val="clear"/>
            <w:tcMar>
              <w:bottom w:w="28" w:type="dxa"/>
            </w:tcMar>
            <w:vAlign w:val="center"/>
          </w:tcPr>
          <w:p>
            <w:pPr>
              <w:pStyle w:val="TableContents"/>
              <w:bidi w:val="0"/>
              <w:spacing w:before="0" w:after="283"/>
              <w:jc w:val="right"/>
              <w:rPr/>
            </w:pPr>
            <w:r>
              <w:rPr/>
              <w:t>18.3</w:t>
            </w:r>
          </w:p>
        </w:tc>
        <w:tc>
          <w:tcPr>
            <w:tcW w:w="449"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pPr>
            <w:r>
              <w:rPr/>
              <w:t>(2.8</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due to tax rate difference of the entities incorporated in Hong Kong, Malaysia, PRC, England, Brazil, British Virgin Island, and Cayman Island.</w:t>
            </w:r>
          </w:p>
        </w:tc>
      </w:tr>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mainly consisted of gain or loss from foreign exchange transaction which is non-deductible under local tax laws.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significant components of the aggregate deferred tax assets and liabilities of the Company as of:</w:t>
      </w:r>
    </w:p>
    <w:p>
      <w:pPr>
        <w:pStyle w:val="TextBody"/>
        <w:bidi w:val="0"/>
        <w:spacing w:before="0" w:after="0"/>
        <w:ind w:left="0" w:right="0" w:hanging="0"/>
        <w:jc w:val="left"/>
        <w:rPr>
          <w:caps w:val="false"/>
          <w:smallCaps w:val="false"/>
        </w:rPr>
      </w:pPr>
      <w:r>
        <w:rPr>
          <w:caps w:val="false"/>
          <w:smallCaps w:val="false"/>
        </w:rPr>
        <w:t> </w:t>
      </w:r>
    </w:p>
    <w:tbl>
      <w:tblPr>
        <w:tblW w:w="6350" w:type="dxa"/>
        <w:jc w:val="left"/>
        <w:tblInd w:w="0" w:type="dxa"/>
        <w:tblLayout w:type="fixed"/>
        <w:tblCellMar>
          <w:top w:w="0" w:type="dxa"/>
          <w:left w:w="0" w:type="dxa"/>
          <w:bottom w:w="0" w:type="dxa"/>
          <w:right w:w="0" w:type="dxa"/>
        </w:tblCellMar>
      </w:tblPr>
      <w:tblGrid>
        <w:gridCol w:w="3515"/>
        <w:gridCol w:w="90"/>
        <w:gridCol w:w="170"/>
        <w:gridCol w:w="1010"/>
        <w:gridCol w:w="125"/>
        <w:gridCol w:w="90"/>
        <w:gridCol w:w="170"/>
        <w:gridCol w:w="1010"/>
        <w:gridCol w:w="17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70" w:type="dxa"/>
            <w:tcBorders/>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Deferred Tax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Net operating loss carryforwards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1,259,513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838,875</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Allowance for credit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276,022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65,177</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440,053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448,276</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Inventory write-off</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72,213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41,307</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Less: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(625,365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(199,508</w:t>
            </w:r>
          </w:p>
        </w:tc>
        <w:tc>
          <w:tcPr>
            <w:tcW w:w="170" w:type="dxa"/>
            <w:tcBorders/>
            <w:shd w:fill="CCEEFF" w:val="clear"/>
            <w:vAlign w:val="center"/>
          </w:tcPr>
          <w:p>
            <w:pPr>
              <w:pStyle w:val="TableContents"/>
              <w:bidi w:val="0"/>
              <w:spacing w:before="0" w:after="283"/>
              <w:jc w:val="left"/>
              <w:rPr/>
            </w:pPr>
            <w:r>
              <w:rPr/>
              <w:t>)</w:t>
            </w:r>
          </w:p>
        </w:tc>
      </w:tr>
      <w:tr>
        <w:trPr/>
        <w:tc>
          <w:tcPr>
            <w:tcW w:w="3515" w:type="dxa"/>
            <w:tcBorders/>
            <w:shd w:fill="FFFFFF" w:val="clear"/>
            <w:vAlign w:val="center"/>
          </w:tcPr>
          <w:p>
            <w:pPr>
              <w:pStyle w:val="TableContents"/>
              <w:bidi w:val="0"/>
              <w:spacing w:before="0" w:after="283"/>
              <w:jc w:val="left"/>
              <w:rPr>
                <w:b/>
              </w:rPr>
            </w:pPr>
            <w:r>
              <w:rPr>
                <w:b/>
              </w:rPr>
              <w:t>Deferred tax assets,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1,422,436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1,194,127</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Deferred tax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1,093,455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468,476</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Amortization of 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428,190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374,591</w:t>
            </w:r>
          </w:p>
        </w:tc>
        <w:tc>
          <w:tcPr>
            <w:tcW w:w="17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b/>
              </w:rPr>
            </w:pPr>
            <w:r>
              <w:rPr>
                <w:b/>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1,521,645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843,067</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Deferred tax (liabilities) assets, net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(99,209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351,060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net operating losses carry forward from all subsidiaries amounted to $10,582,688. The net operating losses from the Singapore subsidiaries can be carried forward indefinitely in Singapore. The Company believes it is not more likely than not that Martiangear, BLC China, RFAC, 2Game Dubai 2Game Brazil, 4Divinity UK, 4Divinity JP, and Ban Leong Thailand will be able to fully utilize their deferred tax assets associated with net operating loss carryforwards given their history of recurring losses and ongoing uncertainty regarding future profitability. As a result, the Company provided a 100% allowance on deferred tax assets on net operating losses of $625,365 related to Martiangear, BLC China, RFAC, 2Game Dubai, 2Game Brazil, 4Divinity UK, 4Divinity JP, and Ban Leong Thailand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Company’s net operating losses carry forward from GCL Global SG, Titan Digital, Starry, Martiangear, 2Game Brazil, 2 Game Dubai, RFAC, and Epicsoft Malaysia combined amounted to $5,075,982. The net operating losses from GCL Global SG and Martiangear can be carried forward indefinitely in Singapore. The Company believes it is not more likely than not that Martiangear RFAC, 2Game Dubai and 2Game Brazil will be able to fully utilize their deferred tax assets associated with net operating loss carryforwards given their history of recurring losses and ongoing uncertainty regarding future profitability. As a result, the Company provided a 100% allowance on deferred tax assets on net operating losses of $199,508 related to Martiangear, RFAC, 2Game Dubai, and 2Game Brazil as of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of the valuation allowance are as follows:</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3155"/>
        <w:gridCol w:w="90"/>
        <w:gridCol w:w="170"/>
        <w:gridCol w:w="830"/>
        <w:gridCol w:w="170"/>
      </w:tblGrid>
      <w:tr>
        <w:trPr/>
        <w:tc>
          <w:tcPr>
            <w:tcW w:w="3155" w:type="dxa"/>
            <w:tcBorders/>
            <w:shd w:fill="CCEEFF" w:val="clear"/>
            <w:vAlign w:val="center"/>
          </w:tcPr>
          <w:p>
            <w:pPr>
              <w:pStyle w:val="TableContents"/>
              <w:bidi w:val="0"/>
              <w:spacing w:before="0" w:after="283"/>
              <w:jc w:val="left"/>
              <w:rPr>
                <w:b/>
              </w:rPr>
            </w:pPr>
            <w:r>
              <w:rPr>
                <w:b/>
              </w:rPr>
              <w:t>Balance as of March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7,916</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Allowance made during the year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195,252</w:t>
            </w:r>
          </w:p>
        </w:tc>
        <w:tc>
          <w:tcPr>
            <w:tcW w:w="17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Foreign exchange difference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(3,660</w:t>
            </w:r>
          </w:p>
        </w:tc>
        <w:tc>
          <w:tcPr>
            <w:tcW w:w="17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b/>
              </w:rPr>
            </w:pPr>
            <w:r>
              <w:rPr>
                <w:b/>
              </w:rPr>
              <w:t>Balance as of March 31, 2025</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199,508</w:t>
            </w:r>
          </w:p>
        </w:tc>
        <w:tc>
          <w:tcPr>
            <w:tcW w:w="17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Allowance made during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407,204</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Foreign exchange difference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18,653</w:t>
            </w:r>
          </w:p>
        </w:tc>
        <w:tc>
          <w:tcPr>
            <w:tcW w:w="17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Balance as of March 31,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625,365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deferred tax (liabilities) assets, net are as following:</w:t>
      </w:r>
    </w:p>
    <w:p>
      <w:pPr>
        <w:pStyle w:val="TextBody"/>
        <w:bidi w:val="0"/>
        <w:spacing w:before="0" w:after="0"/>
        <w:ind w:left="0" w:right="0" w:hanging="0"/>
        <w:jc w:val="left"/>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3635"/>
        <w:gridCol w:w="90"/>
        <w:gridCol w:w="170"/>
        <w:gridCol w:w="905"/>
        <w:gridCol w:w="170"/>
      </w:tblGrid>
      <w:tr>
        <w:trPr/>
        <w:tc>
          <w:tcPr>
            <w:tcW w:w="3635" w:type="dxa"/>
            <w:tcBorders/>
            <w:shd w:fill="CCEEFF" w:val="clear"/>
            <w:vAlign w:val="center"/>
          </w:tcPr>
          <w:p>
            <w:pPr>
              <w:pStyle w:val="TableContents"/>
              <w:bidi w:val="0"/>
              <w:spacing w:before="0" w:after="283"/>
              <w:jc w:val="left"/>
              <w:rPr/>
            </w:pPr>
            <w:r>
              <w:rPr/>
              <w:t>Balance at March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115,460</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Recognized in profit or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233,848</w:t>
            </w:r>
          </w:p>
        </w:tc>
        <w:tc>
          <w:tcPr>
            <w:tcW w:w="17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Foreign exchange differences reserve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1,752</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b/>
              </w:rPr>
            </w:pPr>
            <w:r>
              <w:rPr>
                <w:b/>
              </w:rPr>
              <w:t>Balance at March 31, 2025</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351,060</w:t>
            </w:r>
          </w:p>
        </w:tc>
        <w:tc>
          <w:tcPr>
            <w:tcW w:w="17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Recognized in Ban Leong acquisition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(879,616</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Recognized in profit or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399,929</w:t>
            </w:r>
          </w:p>
        </w:tc>
        <w:tc>
          <w:tcPr>
            <w:tcW w:w="17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Foreign exchange differences reserve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29,418</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b/>
              </w:rPr>
            </w:pPr>
            <w:r>
              <w:rPr>
                <w:b/>
              </w:rPr>
              <w:t>Balance at March 31, 2026</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pPr>
            <w:r>
              <w:rPr/>
              <w:t>(99,209</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Note 2, Recently Issued Accounting Standards, the Company has elected to prospectively adopt the guidance in ASU No. 2023-09, Income Taxes (Topic 740): Improvements to Income Taxes Disclosures, or ASU 2023-09. The following table presented presents income taxes paid, net of refunds, disaggregated by jurisdiction for the years ended March 31, 2026 in accordance with the guidance in ASU No. 2023-09:</w:t>
      </w:r>
    </w:p>
    <w:p>
      <w:pPr>
        <w:pStyle w:val="TextBody"/>
        <w:bidi w:val="0"/>
        <w:spacing w:before="0" w:after="0"/>
        <w:ind w:left="0" w:right="0" w:firstLine="360"/>
        <w:jc w:val="both"/>
        <w:rPr>
          <w:caps w:val="false"/>
          <w:smallCaps w:val="false"/>
        </w:rPr>
      </w:pPr>
      <w:r>
        <w:rPr>
          <w:caps w:val="false"/>
          <w:smallCaps w:val="false"/>
        </w:rPr>
        <w:t> </w:t>
      </w:r>
    </w:p>
    <w:tbl>
      <w:tblPr>
        <w:tblW w:w="5514" w:type="dxa"/>
        <w:jc w:val="left"/>
        <w:tblInd w:w="0" w:type="dxa"/>
        <w:tblLayout w:type="fixed"/>
        <w:tblCellMar>
          <w:top w:w="0" w:type="dxa"/>
          <w:left w:w="0" w:type="dxa"/>
          <w:bottom w:w="0" w:type="dxa"/>
          <w:right w:w="0" w:type="dxa"/>
        </w:tblCellMar>
      </w:tblPr>
      <w:tblGrid>
        <w:gridCol w:w="3995"/>
        <w:gridCol w:w="90"/>
        <w:gridCol w:w="186"/>
        <w:gridCol w:w="1108"/>
        <w:gridCol w:w="135"/>
      </w:tblGrid>
      <w:tr>
        <w:trPr/>
        <w:tc>
          <w:tcPr>
            <w:tcW w:w="3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For the</w:t>
              <w:br/>
              <w:t>Year Ended</w:t>
              <w:br/>
              <w:t>March 31,</w:t>
            </w:r>
          </w:p>
        </w:tc>
        <w:tc>
          <w:tcPr>
            <w:tcW w:w="13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Singapore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1,081,005</w:t>
            </w:r>
          </w:p>
        </w:tc>
        <w:tc>
          <w:tcPr>
            <w:tcW w:w="13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Thailand</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180,983</w:t>
            </w:r>
          </w:p>
        </w:tc>
        <w:tc>
          <w:tcPr>
            <w:tcW w:w="13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Malaysia</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136,673</w:t>
            </w:r>
          </w:p>
        </w:tc>
        <w:tc>
          <w:tcPr>
            <w:tcW w:w="13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Others</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39,162</w:t>
            </w:r>
          </w:p>
        </w:tc>
        <w:tc>
          <w:tcPr>
            <w:tcW w:w="13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b/>
              </w:rPr>
            </w:pPr>
            <w:r>
              <w:rPr>
                <w:b/>
              </w:rPr>
              <w:t>Total income taxes paid, net of refunds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1,437,823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As of March 31, 2026 and 2025, the Company did not have any significant unrecognized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 of the following:</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105"/>
        <w:gridCol w:w="90"/>
        <w:gridCol w:w="170"/>
        <w:gridCol w:w="1010"/>
        <w:gridCol w:w="90"/>
        <w:gridCol w:w="90"/>
        <w:gridCol w:w="170"/>
        <w:gridCol w:w="1010"/>
        <w:gridCol w:w="135"/>
      </w:tblGrid>
      <w:tr>
        <w:trPr/>
        <w:tc>
          <w:tcPr>
            <w:tcW w:w="2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GST taxes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39,853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21,707</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Income taxes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1,585,142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1,395,466</w:t>
            </w:r>
          </w:p>
        </w:tc>
        <w:tc>
          <w:tcPr>
            <w:tcW w:w="13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b/>
              </w:rPr>
            </w:pPr>
            <w:r>
              <w:rPr>
                <w:b/>
              </w:rPr>
              <w:t>Totals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1,624,995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1,417,173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Concentration of Credit risk</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35"/>
        <w:gridCol w:w="1760"/>
      </w:tblGrid>
      <w:tr>
        <w:trPr/>
        <w:tc>
          <w:tcPr>
            <w:tcW w:w="335" w:type="dxa"/>
            <w:tcBorders/>
            <w:vAlign w:val="center"/>
          </w:tcPr>
          <w:p>
            <w:pPr>
              <w:pStyle w:val="TableContents"/>
              <w:bidi w:val="0"/>
              <w:spacing w:before="0" w:after="283"/>
              <w:jc w:val="left"/>
              <w:rPr/>
            </w:pPr>
            <w:r>
              <w:rPr/>
              <w:t>(1)</w:t>
            </w:r>
          </w:p>
        </w:tc>
        <w:tc>
          <w:tcPr>
            <w:tcW w:w="1760" w:type="dxa"/>
            <w:tcBorders/>
            <w:vAlign w:val="center"/>
          </w:tcPr>
          <w:p>
            <w:pPr>
              <w:pStyle w:val="TableContents"/>
              <w:bidi w:val="0"/>
              <w:spacing w:before="0" w:after="283"/>
              <w:jc w:val="both"/>
              <w:rPr/>
            </w:pPr>
            <w:r>
              <w:rPr/>
              <w:t>  </w:t>
            </w:r>
            <w:r>
              <w:rPr/>
              <w:t>Major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customer C accounted for approximately 11% of the Company’s total revenue. For the year ended March 31, 2025, customers F, C, and A, are accounted for approximately 15%, 15%, and 14% of the Company’s total revenue, respectively. For the year ended March 31, 2024, customers A, F, B and C from the Company’s distribution of console game segment are accounted for approximately 17%, 12%, 11%, and 11% of the Company’s total revenue,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customer B and A from the Company’s distribution of console game segment and game publishing segment accounted for approximately 27% and 19% of the total balance of accounts receivable, respectively. As of March 31, 2025, customers A, B, E and C from the Company’s distribution of console game segment and game publishing segment accounted for approximately 31%, 17%, 17% and 12% of the total balance of accounts receivable, respectively.</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35"/>
        <w:gridCol w:w="1565"/>
      </w:tblGrid>
      <w:tr>
        <w:trPr/>
        <w:tc>
          <w:tcPr>
            <w:tcW w:w="335" w:type="dxa"/>
            <w:tcBorders/>
            <w:vAlign w:val="center"/>
          </w:tcPr>
          <w:p>
            <w:pPr>
              <w:pStyle w:val="TableContents"/>
              <w:bidi w:val="0"/>
              <w:spacing w:before="0" w:after="283"/>
              <w:jc w:val="left"/>
              <w:rPr/>
            </w:pPr>
            <w:r>
              <w:rPr/>
              <w:t>(2)</w:t>
            </w:r>
          </w:p>
        </w:tc>
        <w:tc>
          <w:tcPr>
            <w:tcW w:w="1565" w:type="dxa"/>
            <w:tcBorders/>
            <w:vAlign w:val="center"/>
          </w:tcPr>
          <w:p>
            <w:pPr>
              <w:pStyle w:val="TableContents"/>
              <w:bidi w:val="0"/>
              <w:spacing w:before="0" w:after="283"/>
              <w:jc w:val="both"/>
              <w:rPr/>
            </w:pPr>
            <w:r>
              <w:rPr/>
              <w:t>  </w:t>
            </w:r>
            <w:r>
              <w:rPr/>
              <w:t>Major vendors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one vendor accounted for approximately 21% of the Company’s total cost of goods sold. For the year ended March 31, 2025, three vendors a, b and o accounted for approximately 41%, 13% and 10% of the Company’s total cost of goods sold, respectively. For the year ended March 31, 2024, two vendors a and b are accounted for approximately 34% and 21% of the Company’s total cost of goods sold,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five vendors A, e, b, a and y accounted for approximately 16%, 14%, 12%, 11% and 10% of the Company’s total balance of accounts payable, respectively. As of March 31, 2025, vendors h, a, and e accounted for approximately 46%, 16% and 16% of the Company’s total balance of accounts payable, respectively.</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335"/>
        <w:gridCol w:w="1235"/>
      </w:tblGrid>
      <w:tr>
        <w:trPr/>
        <w:tc>
          <w:tcPr>
            <w:tcW w:w="335" w:type="dxa"/>
            <w:tcBorders/>
            <w:vAlign w:val="center"/>
          </w:tcPr>
          <w:p>
            <w:pPr>
              <w:pStyle w:val="TableContents"/>
              <w:bidi w:val="0"/>
              <w:spacing w:before="0" w:after="283"/>
              <w:jc w:val="left"/>
              <w:rPr/>
            </w:pPr>
            <w:r>
              <w:rPr/>
              <w:t>(3)</w:t>
            </w:r>
          </w:p>
        </w:tc>
        <w:tc>
          <w:tcPr>
            <w:tcW w:w="1235" w:type="dxa"/>
            <w:tcBorders/>
            <w:vAlign w:val="center"/>
          </w:tcPr>
          <w:p>
            <w:pPr>
              <w:pStyle w:val="TableContents"/>
              <w:bidi w:val="0"/>
              <w:spacing w:before="0" w:after="283"/>
              <w:jc w:val="both"/>
              <w:rPr/>
            </w:pPr>
            <w:r>
              <w:rPr/>
              <w:t xml:space="preserve">   </w:t>
            </w:r>
            <w:r>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are potentially subject to significant concentrations of credit risk consist primarily of cash. The Singapore Deposit Insurance Corporation Limited (SDIC) insures deposits in a Deposit Insurance (DI) Scheme member bank or finance company up to approximately $58,171 (SGD 75,000) per account. As of March 31, 2026 and 2025, the Company had cash balance of $32,177,785 and $17,323,837, respectively, maintained at DI Scheme banks in Singapore, of which $31,231,177 and $16,379,947 were subject to credit risk, respectively. The Hong Kong Deposit Protection Board pays compensation up to a limit of $102,041 (HKD 800,000) if the bank with which an individual/a Company holds its eligible deposit fails. As of March 31, 2026 and 2025, cash balance of $382,545 and $427,289, respectively, was maintained at financial institutions in Hong Kong, of which $247,354 and $218,660 were subject to credit risk, respectively. The Malaysia deposit insurance corporation (PIDM) standard insurance amount is up to $61,771 (MYR 250,000) per depositor per insured bank. As of March 31, 2026 and 2025, the Company had cash balance of $1,617,945 and $110,745, respectively, maintained at banks in Malaysia, of which $1,410,297 and $50,485 were subject to credit risk, respectively. The Brazilian Deposit Insurance System (FGC) provides deposit insurance coverage of up to $47,971 (BRL 250,000) per depositor per financial institution. As of March 31, 2026 and 2025, the Company had cash balances of $2,126 and $7,526 maintained in Brazilian financial institutions, respectively, none of which was subject to credit risk. The China’s Deposit Insurance Fund (DIF) provides deposit insurance coverage of up to $72,485 (RMB 500,000) per depositor per financial institution. As of March 31, 2026 and 2025, the Company had cash balances of $52,163 and $377,982 maintained in China’s financial institutions, respectively, of which nil and $309,048 were subject to credit risk, respectively. The Japan Deposit Insurance Corporation of Japan (DICJ) provides deposit insurance coverage of up to $62,861 (JYP 10,000,000) per depositor per financial institution. As of March 31, 2026 and 2025, the Company had cash balance of $13,051 and nil maintained in Japan’s financial institutions, respectively, none of which was subject to credit risk. The Thailand Deposit Protection Agency (DPA) provides deposit insurance coverage of up to $30,590 (THD 1,000,000) per depositor per financial institution. As of March 31, 2026 and 2025, the Company had cash balance of $2,149,294 and nil maintained in Thailand’s financial institutions, respectively, of which $2,056,900 and nil were subject to credit risk, respectively. The Dubai Deposit Guarantee Scheme (DGS) provides deposit insurance coverage of up to $136,117 (AED 500,000) per depositor per financial institution. As of March 31, 2026 and 2025, the Company had cash balance of $145,387 and nil maintained in Dubai’s financial institutions, respectively, of which $7,850 and nil were subject to credit risk, respectively. The Central Deposit Insurance Corporation (CDIC) in Taiwan, China, provides deposit insurance coverage of up to $93,604 (TWD 3,000,000) per depositor per financial institution. As of March 31, 2026 and 2025, the Company had cash balances of $31,109 and nil maintained in Taiwan, China’s financial institutions, respectively, of which nil and nil were subject to credit risk,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believes that these financial institutions are of high credit quality, it also continually monitors their credit worthiness.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exposed to risk from accounts receivable and other receivables. These assets are subjected to credit evaluations. An allowance has been made for estimated unrecoverable amounts which have been determined by reference to past default experience and the current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 Company has engaged in multiple offices and warehouse leases which were classified as operating leases. In addition, the Company engaged in a few automobiles’ leases under finance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occupies various offices under operating lease agreements with a term shorter than twelve months which it elected not to recognize lease assets and lease liabilities under ASC 842. Instead, the Company recognized the lease payments in profit or loss on a straight-line basis over the lease term and variable lease payments in the period in which the obligation for those payments is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lease expense on a straight-line basis over the lease term for operating lease. Meanwhile, the Company recognized the finance leases ROU assets and interest on an amortized cost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finance ROU assets is recognized on straight-line basis as amortization expense, while the lease liability is increased to reflect interest on the liability and decreased to reflect the lease payments made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finance lease expenses consist of the following:</w:t>
      </w:r>
    </w:p>
    <w:p>
      <w:pPr>
        <w:pStyle w:val="TextBody"/>
        <w:bidi w:val="0"/>
        <w:spacing w:before="0" w:after="0"/>
        <w:ind w:left="36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2720"/>
        <w:gridCol w:w="90"/>
        <w:gridCol w:w="3320"/>
        <w:gridCol w:w="90"/>
        <w:gridCol w:w="170"/>
        <w:gridCol w:w="1010"/>
        <w:gridCol w:w="90"/>
        <w:gridCol w:w="90"/>
        <w:gridCol w:w="170"/>
        <w:gridCol w:w="1010"/>
        <w:gridCol w:w="90"/>
        <w:gridCol w:w="90"/>
        <w:gridCol w:w="170"/>
        <w:gridCol w:w="83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pPr>
            <w:r>
              <w:rPr/>
              <w:t> </w:t>
            </w:r>
            <w:r>
              <w:rPr>
                <w:b/>
              </w:rPr>
              <w:t>For the years ended March 31,</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0" w:type="dxa"/>
            <w:tcBorders>
              <w:bottom w:val="single" w:sz="12" w:space="0" w:color="000000"/>
            </w:tcBorders>
            <w:tcMar>
              <w:bottom w:w="28" w:type="dxa"/>
            </w:tcMar>
            <w:vAlign w:val="center"/>
          </w:tcPr>
          <w:p>
            <w:pPr>
              <w:pStyle w:val="TableContents"/>
              <w:bidi w:val="0"/>
              <w:spacing w:before="0" w:after="283"/>
              <w:jc w:val="center"/>
              <w:rPr>
                <w:b/>
              </w:rPr>
            </w:pPr>
            <w:r>
              <w:rPr>
                <w:b/>
              </w:rPr>
              <w:t>Classification</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b/>
              </w:rPr>
            </w:pPr>
            <w:r>
              <w:rPr>
                <w:b/>
              </w:rPr>
              <w:t>Operating lease cost</w:t>
            </w:r>
          </w:p>
        </w:tc>
        <w:tc>
          <w:tcPr>
            <w:tcW w:w="9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Lease expenses</w:t>
            </w:r>
          </w:p>
        </w:tc>
        <w:tc>
          <w:tcPr>
            <w:tcW w:w="90" w:type="dxa"/>
            <w:tcBorders/>
            <w:shd w:fill="CCEEFF" w:val="clear"/>
            <w:vAlign w:val="center"/>
          </w:tcPr>
          <w:p>
            <w:pPr>
              <w:pStyle w:val="TableContents"/>
              <w:bidi w:val="0"/>
              <w:spacing w:before="0" w:after="283"/>
              <w:jc w:val="left"/>
              <w:rPr/>
            </w:pPr>
            <w:r>
              <w:rPr/>
              <w:t> </w:t>
            </w:r>
          </w:p>
        </w:tc>
        <w:tc>
          <w:tcPr>
            <w:tcW w:w="33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1,707,020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879,255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866,481</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b/>
              </w:rPr>
            </w:pPr>
            <w:r>
              <w:rPr>
                <w:b/>
              </w:rPr>
              <w:t>Finance lease cost</w:t>
            </w:r>
          </w:p>
        </w:tc>
        <w:tc>
          <w:tcPr>
            <w:tcW w:w="9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Amortization of leased asset</w:t>
            </w:r>
          </w:p>
        </w:tc>
        <w:tc>
          <w:tcPr>
            <w:tcW w:w="90" w:type="dxa"/>
            <w:tcBorders/>
            <w:shd w:fill="CCEEFF" w:val="clear"/>
            <w:vAlign w:val="center"/>
          </w:tcPr>
          <w:p>
            <w:pPr>
              <w:pStyle w:val="TableContents"/>
              <w:bidi w:val="0"/>
              <w:spacing w:before="0" w:after="283"/>
              <w:jc w:val="left"/>
              <w:rPr/>
            </w:pPr>
            <w:r>
              <w:rPr/>
              <w:t> </w:t>
            </w:r>
          </w:p>
        </w:tc>
        <w:tc>
          <w:tcPr>
            <w:tcW w:w="33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116,166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113,207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43,900</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Interest on lease liabilities</w:t>
            </w:r>
          </w:p>
        </w:tc>
        <w:tc>
          <w:tcPr>
            <w:tcW w:w="90" w:type="dxa"/>
            <w:tcBorders/>
            <w:shd w:fill="FFFFFF" w:val="clear"/>
            <w:vAlign w:val="center"/>
          </w:tcPr>
          <w:p>
            <w:pPr>
              <w:pStyle w:val="TableContents"/>
              <w:bidi w:val="0"/>
              <w:spacing w:before="0" w:after="283"/>
              <w:jc w:val="left"/>
              <w:rPr/>
            </w:pPr>
            <w:r>
              <w:rPr/>
              <w:t> </w:t>
            </w:r>
          </w:p>
        </w:tc>
        <w:tc>
          <w:tcPr>
            <w:tcW w:w="3320" w:type="dxa"/>
            <w:tcBorders/>
            <w:shd w:fill="FFFFFF" w:val="clear"/>
            <w:vAlign w:val="center"/>
          </w:tcPr>
          <w:p>
            <w:pPr>
              <w:pStyle w:val="TableContents"/>
              <w:bidi w:val="0"/>
              <w:spacing w:before="0" w:after="283"/>
              <w:jc w:val="left"/>
              <w:rPr/>
            </w:pPr>
            <w:r>
              <w:rPr/>
              <w:t>Interest expenses on finance leases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12,202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11,663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4,234</w:t>
            </w:r>
          </w:p>
        </w:tc>
        <w:tc>
          <w:tcPr>
            <w:tcW w:w="13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Total lease expenses</w:t>
            </w:r>
          </w:p>
        </w:tc>
        <w:tc>
          <w:tcPr>
            <w:tcW w:w="90" w:type="dxa"/>
            <w:tcBorders/>
            <w:shd w:fill="CCEEFF" w:val="clear"/>
            <w:vAlign w:val="center"/>
          </w:tcPr>
          <w:p>
            <w:pPr>
              <w:pStyle w:val="TableContents"/>
              <w:bidi w:val="0"/>
              <w:spacing w:before="0" w:after="283"/>
              <w:jc w:val="left"/>
              <w:rPr/>
            </w:pPr>
            <w:r>
              <w:rPr/>
              <w:t> </w:t>
            </w:r>
          </w:p>
        </w:tc>
        <w:tc>
          <w:tcPr>
            <w:tcW w:w="3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1,835,388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1,004,125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914,615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term and discount rate related to leases were as follows:</w:t>
      </w:r>
    </w:p>
    <w:p>
      <w:pPr>
        <w:pStyle w:val="TextBody"/>
        <w:bidi w:val="0"/>
        <w:spacing w:before="0" w:after="0"/>
        <w:ind w:left="0" w:right="0" w:firstLine="360"/>
        <w:jc w:val="left"/>
        <w:rPr>
          <w:caps w:val="false"/>
          <w:smallCaps w:val="false"/>
        </w:rPr>
      </w:pPr>
      <w:r>
        <w:rPr>
          <w:caps w:val="false"/>
          <w:smallCaps w:val="false"/>
        </w:rPr>
        <w:t> </w:t>
      </w:r>
    </w:p>
    <w:tbl>
      <w:tblPr>
        <w:tblW w:w="7892" w:type="dxa"/>
        <w:jc w:val="left"/>
        <w:tblInd w:w="0" w:type="dxa"/>
        <w:tblLayout w:type="fixed"/>
        <w:tblCellMar>
          <w:top w:w="0" w:type="dxa"/>
          <w:left w:w="0" w:type="dxa"/>
          <w:bottom w:w="0" w:type="dxa"/>
          <w:right w:w="0" w:type="dxa"/>
        </w:tblCellMar>
      </w:tblPr>
      <w:tblGrid>
        <w:gridCol w:w="3545"/>
        <w:gridCol w:w="90"/>
        <w:gridCol w:w="102"/>
        <w:gridCol w:w="997"/>
        <w:gridCol w:w="245"/>
        <w:gridCol w:w="90"/>
        <w:gridCol w:w="115"/>
        <w:gridCol w:w="984"/>
        <w:gridCol w:w="245"/>
        <w:gridCol w:w="90"/>
        <w:gridCol w:w="115"/>
        <w:gridCol w:w="984"/>
        <w:gridCol w:w="290"/>
      </w:tblGrid>
      <w:tr>
        <w:trPr/>
        <w:tc>
          <w:tcPr>
            <w:tcW w:w="3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2024</w:t>
            </w:r>
          </w:p>
        </w:tc>
        <w:tc>
          <w:tcPr>
            <w:tcW w:w="29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b/>
              </w:rPr>
            </w:pPr>
            <w:r>
              <w:rPr>
                <w:b/>
              </w:rPr>
              <w:t>Weighted-average remaining term</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Operating lease</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 years</w:t>
            </w:r>
          </w:p>
        </w:tc>
        <w:tc>
          <w:tcPr>
            <w:tcW w:w="29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Finance leases</w:t>
            </w:r>
          </w:p>
        </w:tc>
        <w:tc>
          <w:tcPr>
            <w:tcW w:w="9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 years</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years</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 years</w:t>
            </w:r>
          </w:p>
        </w:tc>
        <w:tc>
          <w:tcPr>
            <w:tcW w:w="29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Weighted-average discount rate</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Operating lease</w:t>
            </w:r>
          </w:p>
        </w:tc>
        <w:tc>
          <w:tcPr>
            <w:tcW w:w="9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6.0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4.7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4.9</w:t>
            </w:r>
          </w:p>
        </w:tc>
        <w:tc>
          <w:tcPr>
            <w:tcW w:w="29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Finance leases</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minimum lease payments in future periods:</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4520"/>
        <w:gridCol w:w="90"/>
        <w:gridCol w:w="170"/>
        <w:gridCol w:w="1010"/>
        <w:gridCol w:w="125"/>
        <w:gridCol w:w="90"/>
        <w:gridCol w:w="174"/>
        <w:gridCol w:w="851"/>
        <w:gridCol w:w="125"/>
        <w:gridCol w:w="90"/>
        <w:gridCol w:w="170"/>
        <w:gridCol w:w="1010"/>
        <w:gridCol w:w="170"/>
      </w:tblGrid>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Operating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Finance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lease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lease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Twelve months ending March 31, 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1,784,151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131,992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1,916,143</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Twelve months ending March 31, 2028</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1,080,295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110,212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1,190,507</w:t>
            </w:r>
          </w:p>
        </w:tc>
        <w:tc>
          <w:tcPr>
            <w:tcW w:w="17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Twelve months ending March 31, 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708,180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106,038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814,218</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Twelve months ending March 31, 2030</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73,683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60,232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133,915</w:t>
            </w:r>
          </w:p>
        </w:tc>
        <w:tc>
          <w:tcPr>
            <w:tcW w:w="17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Twelve months ending March 31, 2031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36,842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47,737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84,579</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Total lease payments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3,683,151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456,211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4,139,362</w:t>
            </w:r>
          </w:p>
        </w:tc>
        <w:tc>
          <w:tcPr>
            <w:tcW w:w="17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Less: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(228,676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(48,876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(277,552</w:t>
            </w:r>
          </w:p>
        </w:tc>
        <w:tc>
          <w:tcPr>
            <w:tcW w:w="17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b/>
              </w:rPr>
            </w:pPr>
            <w:r>
              <w:rPr>
                <w:b/>
              </w:rPr>
              <w:t>Present value of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3,454,475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407,335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3,861,810</w:t>
            </w:r>
          </w:p>
        </w:tc>
        <w:tc>
          <w:tcPr>
            <w:tcW w:w="17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b/>
              </w:rPr>
            </w:pPr>
            <w:r>
              <w:rPr>
                <w:b/>
              </w:rPr>
              <w:t>Present value of lease liabilities,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1,663,734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1,776,421</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b/>
              </w:rPr>
            </w:pPr>
            <w:r>
              <w:rPr>
                <w:b/>
              </w:rPr>
              <w:t>Present value of lease liabilities, non-current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1,790,741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294,648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2,085,389</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23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Commitment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18, 2024, the Company, through its subsidiary 4Divinity SG, entered into a Publishing Agreement with Nekcom Private Limited and its PRC affiliate (collectively, “Nekcom”), pursuant to which 4Divinity SG was appointed as the global publisher and distributor of the video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(the “Licensed Game”) for all platforms and territories, excluding certain regions previously licensed to other parties. Under the terms of the agreement, 4Divinity SG committed to a fully recoupable minimum sales guarantee of $5,000,000, payable in tranches as defined in the agreement. In addition, 4Divinity SG agreed to furnish a non-recoupable marketing budget of $5,000,000, which will be used to support global marketing efforts for the Licensed Game. As of March 31, 2026, the Company had paid $5,000,000 of the minimum sales guarantee (See Note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certain Facility Letter dated as of October 1, 2024, as supplemented by the Supplemental Letter dated as of March 12, 2025 and July 7, 2025 between the Company and Oversea-Chinese Banking Corporation Limited (“OCBC”) for a financing of up to SGD 5,000,000 (the “Facility Agreement”), the Company has issued to OCBC a warrant (the “OCBC Warrant”) to purchase up to 899,281 ordinary shares of the Company (the “Warrant Shares”) at an exercise price of US$4.17 per share (the “Exercise Price”) to meet one of the conditions precedent for the Borrower to draw down funds under the Facility Agreement. The aggregate Exercise Price payable for the total number of Warrant Shares purchasable under the Warrant shall be US$3,750,000, and shall first be used to repay all principal, interest and other amounts outstanding under the Facility Agreement with the remainder, if any, for the Borrower’s working capital. On July 29, 2025, the Company and OCBC entered into Amendment No. 1 to the Warrant (the “Amendment”) to clarify their commercial understanding that none of the terms of the Warrant shall have any legal effect on the Borrower and/or the Company unless and until the entire SGD 5,000,000 has been disbursed to the Borrower by OCBC under the Facility Agreement; and that OCBC will have no claims for penalties, damages and legal remedies of any kind against either the Company or the Borrower for non-performance of any obligations under the Warrant. The Amendment also provides that, among other things, until the full amount of SGD 5,000,000 is disbursed by OCBC to the Borrower pursuant to the Facility Agreement, (i) the Warrant shall not be capable of exercise of any kind, and shall remain un-exercisable; and (ii) OCBC will have no rights to Piggyback Registration (as defined in the Warrant). Under the Amendment, the Company will have six months from the date the full amount of SGD 5,000,000 is disbursed to file a registration statement for the public resale of all of the Warrant Shares (as defined in the Warrant). As of the date of issuance of the consolidated financial statements, no fund has been disbursed under the Facility Agreement. On December 2, 2025, the facility is cancelled with no fund disbursed.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24 — (Loss)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calculating loss per share, the number of shares used in the calculation reflects the outstanding shares of the Company as if the reverse recapitalization as described in Note 3 took place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0"/>
        <w:gridCol w:w="90"/>
        <w:gridCol w:w="170"/>
        <w:gridCol w:w="1250"/>
        <w:gridCol w:w="125"/>
        <w:gridCol w:w="90"/>
        <w:gridCol w:w="170"/>
        <w:gridCol w:w="1250"/>
        <w:gridCol w:w="90"/>
        <w:gridCol w:w="90"/>
        <w:gridCol w:w="170"/>
        <w:gridCol w:w="1250"/>
        <w:gridCol w:w="170"/>
      </w:tblGrid>
      <w:tr>
        <w:trPr/>
        <w:tc>
          <w:tcPr>
            <w:tcW w:w="5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6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7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b/>
              </w:rPr>
            </w:pPr>
            <w:r>
              <w:rPr>
                <w:b/>
              </w:rPr>
              <w:t>(Loss) earnings per share – basic and diluted:</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b/>
              </w:rPr>
            </w:pPr>
            <w:r>
              <w:rPr>
                <w:b/>
              </w:rPr>
              <w:t>Numerator:</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Net (loss) income attributable to the Company’s shareholders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(24,995,830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5,587,625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(1,373,504</w:t>
            </w:r>
          </w:p>
        </w:tc>
        <w:tc>
          <w:tcPr>
            <w:tcW w:w="170" w:type="dxa"/>
            <w:tcBorders/>
            <w:shd w:fill="CCEEFF" w:val="clear"/>
            <w:vAlign w:val="center"/>
          </w:tcPr>
          <w:p>
            <w:pPr>
              <w:pStyle w:val="TableContents"/>
              <w:bidi w:val="0"/>
              <w:spacing w:before="0" w:after="283"/>
              <w:jc w:val="left"/>
              <w:rPr/>
            </w:pPr>
            <w:r>
              <w:rPr/>
              <w:t>)</w:t>
            </w:r>
          </w:p>
        </w:tc>
      </w:tr>
      <w:tr>
        <w:trPr/>
        <w:tc>
          <w:tcPr>
            <w:tcW w:w="5290" w:type="dxa"/>
            <w:tcBorders/>
            <w:shd w:fill="FFFFFF" w:val="clear"/>
            <w:vAlign w:val="center"/>
          </w:tcPr>
          <w:p>
            <w:pPr>
              <w:pStyle w:val="TableContents"/>
              <w:bidi w:val="0"/>
              <w:spacing w:before="0" w:after="283"/>
              <w:jc w:val="left"/>
              <w:rPr>
                <w:b/>
              </w:rPr>
            </w:pPr>
            <w:r>
              <w:rPr>
                <w:b/>
              </w:rPr>
              <w:t>Denominator: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Weighted average number of ordinary shares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123,232,562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107,184,280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105,013,283</w:t>
            </w:r>
          </w:p>
        </w:tc>
        <w:tc>
          <w:tcPr>
            <w:tcW w:w="170"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(Loss) earnings per ordinary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(0.20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0.05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(0.01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ordinary shares equivalents were excluded from the computation to eliminate any antidilutive effect:</w:t>
      </w:r>
    </w:p>
    <w:p>
      <w:pPr>
        <w:pStyle w:val="TextBody"/>
        <w:bidi w:val="0"/>
        <w:spacing w:before="0" w:after="0"/>
        <w:ind w:left="0" w:right="0" w:hanging="0"/>
        <w:jc w:val="both"/>
        <w:rPr>
          <w:caps w:val="false"/>
          <w:smallCaps w:val="false"/>
        </w:rPr>
      </w:pPr>
      <w:r>
        <w:rPr>
          <w:caps w:val="false"/>
          <w:smallCaps w:val="false"/>
        </w:rPr>
        <w:t> </w:t>
      </w:r>
    </w:p>
    <w:tbl>
      <w:tblPr>
        <w:tblW w:w="7100" w:type="dxa"/>
        <w:jc w:val="left"/>
        <w:tblInd w:w="0" w:type="dxa"/>
        <w:tblLayout w:type="fixed"/>
        <w:tblCellMar>
          <w:top w:w="0" w:type="dxa"/>
          <w:left w:w="0" w:type="dxa"/>
          <w:bottom w:w="0" w:type="dxa"/>
          <w:right w:w="0" w:type="dxa"/>
        </w:tblCellMar>
      </w:tblPr>
      <w:tblGrid>
        <w:gridCol w:w="3545"/>
        <w:gridCol w:w="90"/>
        <w:gridCol w:w="90"/>
        <w:gridCol w:w="1130"/>
        <w:gridCol w:w="90"/>
        <w:gridCol w:w="90"/>
        <w:gridCol w:w="90"/>
        <w:gridCol w:w="1130"/>
        <w:gridCol w:w="90"/>
        <w:gridCol w:w="90"/>
        <w:gridCol w:w="104"/>
        <w:gridCol w:w="426"/>
        <w:gridCol w:w="135"/>
      </w:tblGrid>
      <w:tr>
        <w:trPr/>
        <w:tc>
          <w:tcPr>
            <w:tcW w:w="3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3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Warrant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0"/>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Ordinary shares placed in escrow (2)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2,126,729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4,328,394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Senior Unsecured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2,758,823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pPr>
            <w:r>
              <w:rPr>
                <w:rFonts w:ascii="Times New Roman;Times;Serif" w:hAnsi="Times New Roman;Times;Serif"/>
                <w:sz w:val="20"/>
              </w:rPr>
              <w:t>For the years ended March 31, 2026, 2025 and 2024, the Company had the 16,500,000, 16,500,000, and 0 warrants, respectively, outstanding which were not included in the calculation of diluted net (income) loss per ordinary share because inclusion thereof would be anti-dilutive</w:t>
            </w:r>
            <w:r>
              <w:rPr/>
              <w:t>.</w:t>
            </w:r>
          </w:p>
        </w:tc>
      </w:tr>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4" w:type="dxa"/>
            <w:tcBorders/>
            <w:vAlign w:val="center"/>
          </w:tcPr>
          <w:p>
            <w:pPr>
              <w:pStyle w:val="TableContents"/>
              <w:bidi w:val="0"/>
              <w:spacing w:before="0" w:after="283"/>
              <w:jc w:val="both"/>
              <w:rPr/>
            </w:pPr>
            <w:r>
              <w:rPr/>
              <w:t>For the years March 31, 2026, 2025 and 2024, the Company had 2,126,729, 4,328,394, and 0 ordinary shares, respectively, held in escrow. The Company has determined that these shares are non-participating securities in accordance with ASC 260, as they are not entitled to dividends or other rights until certain milestones are met. As such, these shares are excluded from the calculation of basic and diluted (loss) earnings per share for the respective periods.</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years ended March 31, 2026, 2025 and 2024, the Company had 2,758,823, 0 and 0 potential ordinary shares issuable upon conversion of its senior unsecured notes (Note 16), respectively, which were not included in the calculation of diluted net (income) loss per ordinary share because their inclusion would have been antidilutive.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25 — Segment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segment information on a basis consistent with the internal financial information reviewed by the Chief Operating Decision Maker (“CODM”), which includes intersegment revenues and related expenses. Intersegment amounts are eliminated in consolidation. Intersegment revenues and related expenses are recorded at negotiated transfer prices that include a markup and are eliminated in consolidation. In general, revenue, cost of revenue and operating expenses are directly attributable to, or allocated to, each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serves as the CODM. The CODM evaluates the performance of reportable segments and allocates resources primarily based on segment profit (loss). Segment profit (loss) represents segment revenue less directly attributable and allocated cost of revenue and operating expenses. Segment profit (loss) is the sole measure used by the CODM and is determined in a manner consistent with the measurement principles used in preparing the consolidated financial statements in accordance with ASC 280-10-50-28A. The CODM does not evaluate the performance of segments using asset information. As such, the Company does not allocate assets to its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profit (loss) excludes certain corporate-level expenses and non-operating items that are not allocated to the reportable segments. These items primarily include professional fees, corporate salary expenses, debt issuance costs, interest expense, changes in fair value of financial instruments, and other corporate expenses managed on a consolidated basis. Such amounts are presented as reconciling items to consolidated income (loss) before income taxes. As a result, consolidated income (loss) before income taxes includes these unallocated corporate-level and non-operating items that are excluded from segment profit (loss), which gives rise to the difference between total segment profit (loss) and consolidated income (loss) before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segment profit (loss) in the annual budgeting and forecasting process to allocate capital, marketing expenditures, and personnel resources among the console game, hardware, and accessories, game publishing, and advertising service segments. The CODM reviews segment profit (loss) on a regular basis, including comparisons of budgeted results to actual results, to evaluate margin performance, cost efficiency, and profitability trends within each segment. Segment profit (loss) is also used to compare the relative operating performance of the reportable segments in making decisions regarding expansion initiatives, product strategy, sales focus, and operational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its operating segments based on the internal financial information reviewed by the CODM to assess performance and allocate resources. The Company’s operating segments are organized primarily based on the nature of products sold and services provided. Based on the aggregation criteria in ASC 280, the Company has determined that it has three reportable segments: console game, hardware, and accessories, game publishing, and media advertising service.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Console game, hardware, and accessories</w:t>
            </w:r>
            <w:r>
              <w:rPr>
                <w:rFonts w:ascii="Times New Roman;Times;Serif" w:hAnsi="Times New Roman;Times;Serif"/>
                <w:sz w:val="20"/>
              </w:rPr>
              <w:t xml:space="preserve"> – primarily engaged in the distribution and sale of console video games, gaming hardware, and related accessories and IT hardware and computer accessories.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Game publishing</w:t>
            </w:r>
            <w:r>
              <w:rPr>
                <w:rFonts w:ascii="Times New Roman;Times;Serif" w:hAnsi="Times New Roman;Times;Serif"/>
                <w:sz w:val="20"/>
              </w:rPr>
              <w:t xml:space="preserve"> – primarily engaged in publishing, marketing, and distributing video games under publishing arrangements.</w:t>
            </w:r>
          </w:p>
        </w:tc>
      </w:tr>
    </w:tbl>
    <w:p>
      <w:pPr>
        <w:pStyle w:val="TextBody"/>
        <w:bidi w:val="0"/>
        <w:spacing w:before="0" w:after="0"/>
        <w:ind w:left="0" w:right="0" w:hanging="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68"/>
        <w:gridCol w:w="200"/>
        <w:gridCol w:w="79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Advertising service</w:t>
            </w:r>
            <w:r>
              <w:rPr>
                <w:rFonts w:ascii="Times New Roman;Times;Serif" w:hAnsi="Times New Roman;Times;Serif"/>
                <w:sz w:val="20"/>
              </w:rPr>
              <w:t xml:space="preserve"> – primarily engaged in providing digital advertising and marketing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financial information for each reportable segment for the years ended March 31, 2026, 2025, and 2024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0"/>
        <w:gridCol w:w="90"/>
        <w:gridCol w:w="170"/>
        <w:gridCol w:w="1250"/>
        <w:gridCol w:w="125"/>
        <w:gridCol w:w="90"/>
        <w:gridCol w:w="170"/>
        <w:gridCol w:w="1085"/>
        <w:gridCol w:w="125"/>
        <w:gridCol w:w="90"/>
        <w:gridCol w:w="177"/>
        <w:gridCol w:w="1058"/>
        <w:gridCol w:w="125"/>
        <w:gridCol w:w="90"/>
        <w:gridCol w:w="170"/>
        <w:gridCol w:w="1250"/>
        <w:gridCol w:w="170"/>
      </w:tblGrid>
      <w:tr>
        <w:trPr/>
        <w:tc>
          <w:tcPr>
            <w:tcW w:w="39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9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March 31, 2026</w:t>
            </w:r>
          </w:p>
        </w:tc>
        <w:tc>
          <w:tcPr>
            <w:tcW w:w="170" w:type="dxa"/>
            <w:tcBorders/>
            <w:vAlign w:val="center"/>
          </w:tcPr>
          <w:p>
            <w:pPr>
              <w:pStyle w:val="TableContents"/>
              <w:bidi w:val="0"/>
              <w:spacing w:before="0" w:after="283"/>
              <w:ind w:left="0" w:right="0" w:hanging="180"/>
              <w:jc w:val="left"/>
              <w:rPr/>
            </w:pPr>
            <w:r>
              <w:rPr/>
              <w:t> </w:t>
            </w:r>
          </w:p>
        </w:tc>
      </w:tr>
      <w:tr>
        <w:trPr/>
        <w:tc>
          <w:tcPr>
            <w:tcW w:w="3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Console</w:t>
              <w:br/>
              <w:t>game,</w:t>
              <w:br/>
              <w:t>hardware,</w:t>
              <w:br/>
              <w:t>and</w:t>
              <w:br/>
              <w:t>accessories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Game</w:t>
              <w:br/>
              <w:t>Publishing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Advertising</w:t>
              <w:br/>
              <w:t>Service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228,776,065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7,146,373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1,508,407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237,430,845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Revenues, a related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114,094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4,655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118,749</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Intersegment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381,400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1,523,690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1,905,090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Total segment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229,271,559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8,670,063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1,513,062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239,454,684</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Reconciliation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Other revenue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1,374,495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Elimination of intersegment revenues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(1,905,090</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970" w:type="dxa"/>
            <w:tcBorders/>
            <w:shd w:fill="CCEEFF" w:val="clear"/>
            <w:vAlign w:val="center"/>
          </w:tcPr>
          <w:p>
            <w:pPr>
              <w:pStyle w:val="TableContents"/>
              <w:bidi w:val="0"/>
              <w:spacing w:before="0" w:after="283"/>
              <w:jc w:val="left"/>
              <w:rPr/>
            </w:pPr>
            <w:r>
              <w:rPr/>
              <w:t>Total consolidated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238,924,089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Cost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209,884,697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5,041,422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869,320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Advertising and marketing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1,797,975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1,554,573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446,312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Amortization and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1,685,127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10,302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Provision for credit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888,599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339,214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Professional fee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2,162,300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1,028,376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8,569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R&amp;D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41,338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1,237,336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27,784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195,348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Salary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11,518,294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1,680,194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614,099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Interest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1,987,061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148,909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6,955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Other segments items (b)</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2,284,422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331,587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(80,782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Segment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(4,215,590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(1,483,948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(570,371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(6,269,909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9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Reconciliation of segment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Add: Other profit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175,468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Less: Elimination of intersegment profit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(11,360</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970" w:type="dxa"/>
            <w:tcBorders/>
            <w:shd w:fill="CCEEFF" w:val="clear"/>
            <w:vAlign w:val="center"/>
          </w:tcPr>
          <w:p>
            <w:pPr>
              <w:pStyle w:val="TableContents"/>
              <w:bidi w:val="0"/>
              <w:spacing w:before="0" w:after="283"/>
              <w:jc w:val="left"/>
              <w:rPr/>
            </w:pPr>
            <w:r>
              <w:rPr/>
              <w:t>Less: Unallocated amounts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Other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827,986</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Advertising and marketing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268,047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Amortization and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15,338</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Professional fee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4,981,926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Salary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1,428,087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176,255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Debt issuance costs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379,242</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970" w:type="dxa"/>
            <w:tcBorders/>
            <w:shd w:fill="CCEEFF" w:val="clear"/>
            <w:vAlign w:val="center"/>
          </w:tcPr>
          <w:p>
            <w:pPr>
              <w:pStyle w:val="TableContents"/>
              <w:bidi w:val="0"/>
              <w:spacing w:before="0" w:after="283"/>
              <w:jc w:val="left"/>
              <w:rPr/>
            </w:pPr>
            <w:r>
              <w:rPr/>
              <w:t>Change in fair value of convertible notes and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1,188,928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70"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10,614,578</w:t>
            </w:r>
          </w:p>
        </w:tc>
        <w:tc>
          <w:tcPr>
            <w:tcW w:w="170" w:type="dxa"/>
            <w:tcBorders/>
            <w:shd w:fill="FFFFFF" w:val="clear"/>
            <w:vAlign w:val="center"/>
          </w:tcPr>
          <w:p>
            <w:pPr>
              <w:pStyle w:val="TableContents"/>
              <w:bidi w:val="0"/>
              <w:spacing w:before="0" w:after="283"/>
              <w:ind w:left="0" w:right="0" w:hanging="180"/>
              <w:jc w:val="left"/>
              <w:rPr>
                <w:sz w:val="4"/>
                <w:szCs w:val="4"/>
              </w:rPr>
            </w:pPr>
            <w:r>
              <w:rPr>
                <w:sz w:val="4"/>
                <w:szCs w:val="4"/>
              </w:rPr>
            </w:r>
          </w:p>
        </w:tc>
      </w:tr>
      <w:tr>
        <w:trPr/>
        <w:tc>
          <w:tcPr>
            <w:tcW w:w="3970"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(25,963,468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5"/>
        <w:gridCol w:w="90"/>
        <w:gridCol w:w="170"/>
        <w:gridCol w:w="1250"/>
        <w:gridCol w:w="125"/>
        <w:gridCol w:w="90"/>
        <w:gridCol w:w="170"/>
        <w:gridCol w:w="1130"/>
        <w:gridCol w:w="125"/>
        <w:gridCol w:w="90"/>
        <w:gridCol w:w="177"/>
        <w:gridCol w:w="1058"/>
        <w:gridCol w:w="125"/>
        <w:gridCol w:w="90"/>
        <w:gridCol w:w="170"/>
        <w:gridCol w:w="1250"/>
        <w:gridCol w:w="170"/>
      </w:tblGrid>
      <w:tr>
        <w:trPr/>
        <w:tc>
          <w:tcPr>
            <w:tcW w:w="3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March 31, 2025</w:t>
            </w:r>
          </w:p>
        </w:tc>
        <w:tc>
          <w:tcPr>
            <w:tcW w:w="170" w:type="dxa"/>
            <w:tcBorders/>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Console</w:t>
              <w:br/>
              <w:t>game,</w:t>
              <w:br/>
              <w:t>hardware,</w:t>
              <w:br/>
              <w:t>and</w:t>
              <w:br/>
              <w:t>accessories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Game</w:t>
              <w:br/>
              <w:t>Publishing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Advertising</w:t>
              <w:br/>
              <w:t>Service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122,018,643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16,029,524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1,973,858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140,022,025</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Revenues, a related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1,244,899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264,506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1,509,405</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Intersegment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7,727,708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7,727,708</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Total segment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123,263,542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23,757,232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2,238,364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149,259,138</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Reconciliation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Other revenue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541,156</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Elimination of intersegment revenues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(7,727,708</w:t>
            </w:r>
          </w:p>
        </w:tc>
        <w:tc>
          <w:tcPr>
            <w:tcW w:w="170" w:type="dxa"/>
            <w:tcBorders/>
            <w:shd w:fill="FFFFFF" w:val="clear"/>
            <w:vAlign w:val="center"/>
          </w:tcPr>
          <w:p>
            <w:pPr>
              <w:pStyle w:val="TableContents"/>
              <w:bidi w:val="0"/>
              <w:spacing w:before="0" w:after="283"/>
              <w:jc w:val="left"/>
              <w:rPr/>
            </w:pPr>
            <w:r>
              <w:rPr/>
              <w:t>)</w:t>
            </w:r>
          </w:p>
        </w:tc>
      </w:tr>
      <w:tr>
        <w:trPr/>
        <w:tc>
          <w:tcPr>
            <w:tcW w:w="3925" w:type="dxa"/>
            <w:tcBorders/>
            <w:shd w:fill="CCEEFF" w:val="clear"/>
            <w:vAlign w:val="center"/>
          </w:tcPr>
          <w:p>
            <w:pPr>
              <w:pStyle w:val="TableContents"/>
              <w:bidi w:val="0"/>
              <w:spacing w:before="0" w:after="283"/>
              <w:jc w:val="left"/>
              <w:rPr/>
            </w:pPr>
            <w:r>
              <w:rPr/>
              <w:t>Total consolidated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142,072,586</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Cost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115,884,467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11,110,156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956,391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Advertising and marketing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1,091,784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629,239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412,225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Amortization and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2,303,694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33,397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Provision for (recovery from) credit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70,076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(205,580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(60,199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Professional fee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713,369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11,366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70,834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R&amp;D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209,746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680,867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232,918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Salary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4,270,308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1,344,110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913,349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Interest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644,003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6,359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Other segments items (b)</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1,422,352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177,328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(113,400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Segment profit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(4,027,124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10,675,791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(213,510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6,435,157</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Reconciliation of segment profit or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Add: Other profit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26,835</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Less: Elimination of intersegment profit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431,341</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Less: Unallocated amounts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Other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68,835</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Professional fee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2,383,796</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Salary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112,603</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26,566</w:t>
            </w:r>
          </w:p>
        </w:tc>
        <w:tc>
          <w:tcPr>
            <w:tcW w:w="170" w:type="dxa"/>
            <w:tcBorders/>
            <w:shd w:fill="CCEEFF" w:val="clear"/>
            <w:vAlign w:val="center"/>
          </w:tcPr>
          <w:p>
            <w:pPr>
              <w:pStyle w:val="TableContents"/>
              <w:bidi w:val="0"/>
              <w:spacing w:before="0" w:after="283"/>
              <w:jc w:val="left"/>
              <w:rPr/>
            </w:pPr>
            <w:r>
              <w:rPr/>
              <w:t> </w:t>
            </w:r>
          </w:p>
        </w:tc>
      </w:tr>
      <w:tr>
        <w:trPr/>
        <w:tc>
          <w:tcPr>
            <w:tcW w:w="3925" w:type="dxa"/>
            <w:tcBorders/>
            <w:shd w:fill="FFFFFF" w:val="clear"/>
            <w:vAlign w:val="center"/>
          </w:tcPr>
          <w:p>
            <w:pPr>
              <w:pStyle w:val="TableContents"/>
              <w:bidi w:val="0"/>
              <w:spacing w:before="0" w:after="283"/>
              <w:jc w:val="left"/>
              <w:rPr/>
            </w:pPr>
            <w:r>
              <w:rPr/>
              <w:t>Debt issuance costs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1,590,750</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Change in fair value of convertible notes and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(4,875,420</w:t>
            </w:r>
          </w:p>
        </w:tc>
        <w:tc>
          <w:tcPr>
            <w:tcW w:w="170" w:type="dxa"/>
            <w:tcBorders/>
            <w:shd w:fill="CCEEFF" w:val="clear"/>
            <w:vAlign w:val="center"/>
          </w:tcPr>
          <w:p>
            <w:pPr>
              <w:pStyle w:val="TableContents"/>
              <w:bidi w:val="0"/>
              <w:spacing w:before="0" w:after="283"/>
              <w:jc w:val="left"/>
              <w:rPr/>
            </w:pPr>
            <w:r>
              <w:rPr/>
              <w:t>)</w:t>
            </w:r>
          </w:p>
        </w:tc>
      </w:tr>
      <w:tr>
        <w:trPr/>
        <w:tc>
          <w:tcPr>
            <w:tcW w:w="3925"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545,428</w:t>
            </w:r>
          </w:p>
        </w:tc>
        <w:tc>
          <w:tcPr>
            <w:tcW w:w="170" w:type="dxa"/>
            <w:tcBorders/>
            <w:shd w:fill="FFFFFF" w:val="clear"/>
            <w:vAlign w:val="center"/>
          </w:tcPr>
          <w:p>
            <w:pPr>
              <w:pStyle w:val="TableContents"/>
              <w:bidi w:val="0"/>
              <w:spacing w:before="0" w:after="283"/>
              <w:jc w:val="left"/>
              <w:rPr/>
            </w:pPr>
            <w:r>
              <w:rPr/>
              <w:t> </w:t>
            </w:r>
          </w:p>
        </w:tc>
      </w:tr>
      <w:tr>
        <w:trPr/>
        <w:tc>
          <w:tcPr>
            <w:tcW w:w="3925" w:type="dxa"/>
            <w:tcBorders/>
            <w:shd w:fill="CCEEFF" w:val="clear"/>
            <w:vAlign w:val="center"/>
          </w:tcPr>
          <w:p>
            <w:pPr>
              <w:pStyle w:val="TableContents"/>
              <w:bidi w:val="0"/>
              <w:spacing w:before="0" w:after="283"/>
              <w:jc w:val="left"/>
              <w:rPr/>
            </w:pPr>
            <w:r>
              <w:rPr/>
              <w:t>Income (loss)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6,178,093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5"/>
        <w:gridCol w:w="90"/>
        <w:gridCol w:w="170"/>
        <w:gridCol w:w="1130"/>
        <w:gridCol w:w="125"/>
        <w:gridCol w:w="90"/>
        <w:gridCol w:w="170"/>
        <w:gridCol w:w="1010"/>
        <w:gridCol w:w="125"/>
        <w:gridCol w:w="90"/>
        <w:gridCol w:w="177"/>
        <w:gridCol w:w="1058"/>
        <w:gridCol w:w="125"/>
        <w:gridCol w:w="90"/>
        <w:gridCol w:w="170"/>
        <w:gridCol w:w="1130"/>
        <w:gridCol w:w="170"/>
      </w:tblGrid>
      <w:tr>
        <w:trPr/>
        <w:tc>
          <w:tcPr>
            <w:tcW w:w="4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March 31, 2024</w:t>
            </w:r>
          </w:p>
        </w:tc>
        <w:tc>
          <w:tcPr>
            <w:tcW w:w="170" w:type="dxa"/>
            <w:tcBorders/>
            <w:vAlign w:val="center"/>
          </w:tcPr>
          <w:p>
            <w:pPr>
              <w:pStyle w:val="TableContents"/>
              <w:bidi w:val="0"/>
              <w:spacing w:before="0" w:after="283"/>
              <w:jc w:val="left"/>
              <w:rPr/>
            </w:pPr>
            <w:r>
              <w:rPr/>
              <w:t> </w:t>
            </w:r>
          </w:p>
        </w:tc>
      </w:tr>
      <w:tr>
        <w:trPr/>
        <w:tc>
          <w:tcPr>
            <w:tcW w:w="4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Console</w:t>
              <w:br/>
              <w:t>game,</w:t>
              <w:br/>
              <w:t>hardware,</w:t>
              <w:br/>
              <w:t>and</w:t>
              <w:br/>
              <w:t>accessories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Game</w:t>
              <w:br/>
              <w:t>Publishing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Advertising</w:t>
              <w:br/>
              <w:t>Service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Revenues from external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90,976,328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3,431,678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2,716,090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97,124,096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Revenues, a related party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42,477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42,477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Intersegment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1,015,194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1,025,062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Total segment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91,028,673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4,446,872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2,716,090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98,191,635</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Reconciliation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Other revenue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368,128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Elimination of intersegment revenues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(1,025,062</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4285" w:type="dxa"/>
            <w:tcBorders/>
            <w:shd w:fill="CCEEFF" w:val="clear"/>
            <w:vAlign w:val="center"/>
          </w:tcPr>
          <w:p>
            <w:pPr>
              <w:pStyle w:val="TableContents"/>
              <w:bidi w:val="0"/>
              <w:spacing w:before="0" w:after="283"/>
              <w:jc w:val="left"/>
              <w:rPr/>
            </w:pPr>
            <w:r>
              <w:rPr/>
              <w:t>Total consolidated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97,534,701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80,804,637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2,736,076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1,389,562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Advertising and marketing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594,729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768,414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139,762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Amortization and depreciation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2,161,956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202,348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Provision for (recovery from) credit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165,315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234,075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84,858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Professional fee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791,998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35,372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35,190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R&amp;D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250,922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Rent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612,945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199,150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Salary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3,458,457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765,423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1,183,987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Interest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507,803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Other segments items (b)</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(408,726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128,312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121,649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Segment profit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2,088,637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(220,800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(640,416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1,227,421</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Reconciliation of segment profit or loss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Less: Other loss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192,545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Less: Elimination of intersegment profit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175,361</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Less: Unallocated amounts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Other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48,252</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Professional fee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1,095,390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Salary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1,329,679</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21,830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85" w:type="dxa"/>
            <w:tcBorders/>
            <w:shd w:fill="FFFFFF" w:val="clear"/>
            <w:vAlign w:val="center"/>
          </w:tcPr>
          <w:p>
            <w:pPr>
              <w:pStyle w:val="TableContents"/>
              <w:bidi w:val="0"/>
              <w:spacing w:before="0" w:after="283"/>
              <w:jc w:val="left"/>
              <w:rPr/>
            </w:pPr>
            <w:r>
              <w:rPr/>
              <w:t>Change in fair value of contingent consideration for acquisition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272,029</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285" w:type="dxa"/>
            <w:tcBorders/>
            <w:shd w:fill="CCEEFF" w:val="clear"/>
            <w:vAlign w:val="center"/>
          </w:tcPr>
          <w:p>
            <w:pPr>
              <w:pStyle w:val="TableContents"/>
              <w:bidi w:val="0"/>
              <w:spacing w:before="0" w:after="283"/>
              <w:jc w:val="left"/>
              <w:rPr/>
            </w:pPr>
            <w:r>
              <w:rPr/>
              <w:t>Income (loss)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(1,907,665</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and profit or loss from segments below the quantitative thresholds are attributable to an operating segment of the Company that includes the distribution of jewelry products. This operating segment has not met any of the quantitative thresholds for determining reportable segments.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for each reportable segment include: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Console Game, hardware, and accessories</w:t>
            </w:r>
            <w:r>
              <w:rPr>
                <w:rFonts w:ascii="Times New Roman;Times;Serif" w:hAnsi="Times New Roman;Times;Serif"/>
                <w:b w:val="false"/>
                <w:i w:val="false"/>
                <w:caps w:val="false"/>
                <w:smallCaps w:val="false"/>
                <w:sz w:val="20"/>
              </w:rPr>
              <w:t xml:space="preserve"> - office, entertainment, travel, non-operating income from advertising compensation from vendors, foreign currencies gain or loss and other miscellaneous expenses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Game publishing</w:t>
            </w:r>
            <w:r>
              <w:rPr>
                <w:rFonts w:ascii="Times New Roman;Times;Serif" w:hAnsi="Times New Roman;Times;Serif"/>
                <w:b w:val="false"/>
                <w:i w:val="false"/>
                <w:caps w:val="false"/>
                <w:smallCaps w:val="false"/>
                <w:sz w:val="20"/>
              </w:rPr>
              <w:t xml:space="preserve"> - office, entertainment, travel, foreign currencies gain or loss, and other miscellaneous expenses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Advertising</w:t>
            </w:r>
            <w:r>
              <w:rPr>
                <w:rFonts w:ascii="Times New Roman;Times;Serif" w:hAnsi="Times New Roman;Times;Serif"/>
                <w:b w:val="false"/>
                <w:i w:val="false"/>
                <w:caps w:val="false"/>
                <w:smallCaps w:val="false"/>
                <w:sz w:val="20"/>
              </w:rPr>
              <w:t xml:space="preserve"> service - office, entertainment, travel, foreign currencies gain or loss, and other miscellaneous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information of revenues by regions are as follows:</w:t>
      </w:r>
    </w:p>
    <w:p>
      <w:pPr>
        <w:pStyle w:val="TextBody"/>
        <w:bidi w:val="0"/>
        <w:spacing w:before="0" w:after="0"/>
        <w:ind w:left="0" w:right="0" w:firstLine="360"/>
        <w:jc w:val="left"/>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1370"/>
        <w:gridCol w:w="90"/>
        <w:gridCol w:w="170"/>
        <w:gridCol w:w="1250"/>
        <w:gridCol w:w="90"/>
        <w:gridCol w:w="90"/>
        <w:gridCol w:w="170"/>
        <w:gridCol w:w="1250"/>
        <w:gridCol w:w="90"/>
        <w:gridCol w:w="90"/>
        <w:gridCol w:w="170"/>
        <w:gridCol w:w="1130"/>
        <w:gridCol w:w="135"/>
      </w:tblGrid>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For the</w:t>
              <w:br/>
              <w:t>year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For the</w:t>
              <w:br/>
              <w:t>year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For the</w:t>
              <w:br/>
              <w:t>year ended</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Singapore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153,636,809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71,202,860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58,145,593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Hong Kong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59,230,088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53,720,233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32,696,502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China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2,232,545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12,626,821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Malaysia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14,664,763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4,522,672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6,692,606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Thailand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8,645,480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Other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514,404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238,924,089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142,072,586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97,534,701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long-lived assets by geographic area, which includes property and equipment, net operating leases right-of-use assets, and finance leases right-of-use assets:</w:t>
      </w:r>
    </w:p>
    <w:p>
      <w:pPr>
        <w:pStyle w:val="TextBody"/>
        <w:bidi w:val="0"/>
        <w:spacing w:before="0" w:after="0"/>
        <w:ind w:left="0" w:right="0" w:firstLine="36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180"/>
        <w:gridCol w:w="90"/>
        <w:gridCol w:w="170"/>
        <w:gridCol w:w="1010"/>
        <w:gridCol w:w="90"/>
        <w:gridCol w:w="90"/>
        <w:gridCol w:w="170"/>
        <w:gridCol w:w="1010"/>
        <w:gridCol w:w="135"/>
      </w:tblGrid>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Singapore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4,790,882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954,399</w:t>
            </w:r>
          </w:p>
        </w:tc>
        <w:tc>
          <w:tcPr>
            <w:tcW w:w="13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Hong Kong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62,748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19,118</w:t>
            </w:r>
          </w:p>
        </w:tc>
        <w:tc>
          <w:tcPr>
            <w:tcW w:w="13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Malaysia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324,337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151,171</w:t>
            </w:r>
          </w:p>
        </w:tc>
        <w:tc>
          <w:tcPr>
            <w:tcW w:w="13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Brazil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283,656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Taiwan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205,990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Others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42,495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61,011</w:t>
            </w:r>
          </w:p>
        </w:tc>
        <w:tc>
          <w:tcPr>
            <w:tcW w:w="13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Total long-lived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5,710,108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1,185,699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events and transactions that occurred after March 31, 2026, which is the date the consolidated financial statements to be issued, and concluded that other than the events disclosed below and elsewhere, there is no other subsequent event occurred that would require recognition or disclosure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9, 2026, in connection with the share purchase agreement with an accredit investor (Note 6), GCL Global Limited, a subsidiary of the Company, sold 306,250 Series B Preferred Shares of Nekcom for a consideration of $1,000,000. The legal transfer of the 306,250 Series B Preferred Shares (representing the 0.5% equity interest of Nekcom) to the accredited investor was completed on May 26, 2026. Upon successful launch of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the buyer has the option to sell all or any portion of the Series B Preferred Shares to GCL Global Limited at two times of the purchase price. If the game </w:t>
      </w:r>
      <w:r>
        <w:rPr>
          <w:rFonts w:ascii="Times New Roman;Times;Serif" w:hAnsi="Times New Roman;Times;Serif"/>
          <w:b w:val="false"/>
          <w:i/>
          <w:caps w:val="false"/>
          <w:smallCaps w:val="false"/>
          <w:sz w:val="20"/>
        </w:rPr>
        <w:t>Showa American Story</w:t>
      </w:r>
      <w:r>
        <w:rPr>
          <w:rFonts w:ascii="Times New Roman;Times;Serif" w:hAnsi="Times New Roman;Times;Serif"/>
          <w:b w:val="false"/>
          <w:i w:val="false"/>
          <w:caps w:val="false"/>
          <w:smallCaps w:val="false"/>
          <w:sz w:val="20"/>
        </w:rPr>
        <w:t xml:space="preserve"> is not launched on or before June 30, 2028, the buyer has the option to sell the Series B Preferred Shares to GCL Global Limited at original purchase consideration plus compound interest accrued at 10%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redeemed, in part, the then-outstanding Senior Unsecured Notes for approximately $3.18 million pursuant to the terms of the Senior Unsecured Notes. The Parties also entered into that certain Amendment, Waiver and Exchange Agreement (the “Exchange Agreement”), pursuant to which, the remaining balance of the Senior Unsecured Notes was exchanged for a warrant to purchase 1,125,000 ordinary shares of the Company at an initial exercise price of $8.00 per share, subject to full-ratchet anti-dilution adjustments and other price protections in the event of, among other things, a reverse stock split or share combination (the “April 2026 Warrant”) in reliance on the exemption from registration provided by Section 3(a)(9) of the Securities Act of 1933, as amended (the “Securities Act”). The Parties have also agreed to, among other things, waive any right to consummate any Additional Closing or cause the Company to issue Additional Notes, pursuant to the terms of the Senior Unsecured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4Divinity SG issued the related ordinary shares in connection with the $10,000,000 share subscription payable recorded as of March 31, 2026, thereby completing the share subscription (Note 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incorporated Shenfang Universe (Shanghai) Technology Co., Ltd. (“Shenfang Shanghai”), an indirect wholly owned subsidiary organized under the laws of the People’s Republic of China (“PRC”). Shenfang Shanghai was established to facilitate anticipated business activities and future commercial operations in the Shanghai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incorporated Shenfang Interactive (Hangzhou) Technology Co., Ltd. (“Shenfang Hangzhou”), an indirect wholly owned subsidiary organized under the laws of the PRC. Shenfang Hangzhou was established to facilitate anticipated business activities and future commercial operations in the Hangzhou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4Divinity SG entered into an additional share subscription agreement with an accredited investor for the issuance of 2,571,429 ordinary shares at $3.50 per share for aggregate consideration of $9,000,000. The subscription proceeds were received and the related shares were issued in July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9761301ex2-1.htm"/>
      <w:bookmarkStart w:id="47" w:name="ksea029761301ex21"/>
      <w:bookmarkEnd w:id="46"/>
      <w:bookmarkEnd w:id="47"/>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 REGISTERED PURSUANT TO SECTION 12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is a Cayman Islands company incorporated with limited liability and our affairs are governed by the provisions of its Amended and Restated Memorandum and Articles of Association (the “Company Charter”), as amended and restated from time to time, and by the provisions of applicable Cayman Islands law, including the Companies Act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registration number in the Cayman Islands is 403942. As provided in the Company Charter, subject to Cayman Islands law, we have full power and authority to carry out any object not prohibited by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certain terms of our shares as set out more particularly in the of the Company Charter. Because it is only a summary, it may not contain all the information that is important to you. We urge you to read the applicable provisions of Cayman Islands law and the Company Charter carefully and in their entirety because they describe your rights as a holder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shares of the Company consist of US$50,000 divided into 500,000,000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Company’s shares are deemed to be issued when the name of the shareholder is entered in our register of members. Our register of members will be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the Company, or any person who is aggrieved by the omission, inaccuracy or delay, may apply to the Cayman Islands Court for an order that the register be rectified, and the Court may either refuse the application or order the rectification of the register, and may direct the Company to pay all costs of the application and any damages the applicant may have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rights of holders of our Ordinary Shares:</w:t>
      </w:r>
    </w:p>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holder of Ordinary Shares is entitled to one vote per share on all matters to be voted on by shareholders generally, including the appointment of directors;</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holders of our Ordinary Shares are entitled to dividends and other distributions, as may be declared from time to time by our board of directors out of funds legally available for that purpose, if any, and pursuant to the Company Charter, all dividends unclaimed for three years from the date the dividend became due for payment shall be forfeited and shall revert to the Company; and</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upon our liquidation, dissolution or winding up, the holders of Ordinary Shares will be entitled to share ratably, in the distribution of all of our assets remaining available for distribution after satisfaction of all our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Company Charter will require approval of our shareholders by way of special resolution (which requires a majority of not less than two-thirds).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do not have any preemptive or other rights to subscribe for additional shares pursuant to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certain relevant provisions of Cayman Islands law and the Company Charter in relation to our shareholders’ meetings: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directors of the Company may convene meetings of shareholders at such times and in such manner and places within or outside the Cayman Islands as the directors consider necessary or desirable. There is no requirement for the Company to hold annual general meetings;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shareholders holding not less than twenty percent (20%) in par value of the issued shares which as at that date carry the right to vote at general meetings shall have the ability to requisition a general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directors convening a meeting of shareholders must give not less than ten days’ clear notice of the proposed meeting;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shareholder may be represented at a meeting of shareholders by a proxy who may speak and vote on behalf of the shareholder;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the Company has only one shareholder in which case that shareholder alone constitutes a quorum;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ordinary resolution of shareholders is 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by the Company Charter;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special resolution of shareholders is 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does not permit the adoption by the shareholders of resolutions in writing. A shareholder resolution must be passed at a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no general right under the Company Charter to bring business before a general meeting of the Company, save in the case of any shareholders right to requisition a general meeting provided the minimum shareholder requirement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be appointed by an ordinary resolution of the shareholders. Alternatively, the Company board of directors may, by the affirmative vote of a simple majority of the directors present and voting at a board meeting appoint any person as a director to fill a casual vacancy on the board or as an addition to the existing board. The Company directors are not automatically subject to a term of office and hold office until such time as their office is vacated or where they are removed from office by an ordinary resolution of shareholders or otherwise in accordance with the Company Charter. In addition, a director will cease to be a director if, among other things the director (i) becomes bankrupt or makes any arrangement or composition with his or her creditors: (ii) dies or is found to be or becomes of unsound mind within the scope of the Company Charter: (iii) resigns his or her office by notice in writing to the Company; (iv) without special leave of absence from the Company Board, is absent from board meetings for a continuous period of 6 months and the Company directors resolve that his or her office be vacated; (v) by notice in writing signed by not less than three-fourths of all the Company directors in number; or (vi) is removed from office pursuant to any other provision of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are appointed by and serve at the discretion of the board of directors, and may be removed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Company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4"/>
        <w:gridCol w:w="9822"/>
      </w:tblGrid>
      <w:tr>
        <w:trPr/>
        <w:tc>
          <w:tcPr>
            <w:tcW w:w="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a company acts or proposes to act illegally or ultra vires;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act complained of, although not ultra vires, could only be effected duly if authorized by more than the number of votes which have actually been obtained;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complete and is subject to, and is qualified in its entirety by reference to, the provisions of the Warrant Agreement, dated as of March 23, 2022, by and between RFAC and Continental Stock Transfer &amp; Trust Company (the “Existing Warrant Agreement”), which was filed as Exhibit 4.5 to the registration statement (333-261765).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the Company, RFAC and Continental Stock Transfer &amp; Trust Company entered into the Assignment, Assumption and Amendment Agreement (the “Amended Warrant Agreement”), pursuant to which, among other things, effective as of the Effective Time, the Company will assume the obligations of RFAC under the Existing Warrant Agreement. Pursuant to the Business Combination Agreement and the Amended Warrant Agreement, each issued and outstanding warrant of RFAC sold to the public and to the Sponsor and EBC in a private placement in connection with RFAC’s initial public offering was exchanged for a corresponding warrant exercisable for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Ordinary Shares issuable upon exercise of the Warrants on a Registration Statement on Form S-1 (File No. 333-265353) because the Warrants will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have filed a registration statement (333-286361) for the resale of the Ordinary Shares underlying the Warrants and the registration statement was declared effective on May 18, 2026. We will use our best efforts to maintain a current prospectus relating to the Ordinary Shares issuable upon exercise of the Warrants until the expiration of the Warrants in accordance with the provisions of the warrant agreement.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 for cash: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680"/>
        <w:gridCol w:w="9374"/>
      </w:tblGrid>
      <w:tr>
        <w:trPr/>
        <w:tc>
          <w:tcPr>
            <w:tcW w:w="1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w:t>
            </w:r>
          </w:p>
        </w:tc>
        <w:tc>
          <w:tcPr>
            <w:tcW w:w="9374" w:type="dxa"/>
            <w:tcBorders/>
            <w:vAlign w:val="center"/>
          </w:tcPr>
          <w:p>
            <w:pPr>
              <w:pStyle w:val="TableContents"/>
              <w:bidi w:val="0"/>
              <w:spacing w:before="0" w:after="283"/>
              <w:jc w:val="both"/>
              <w:rPr/>
            </w:pPr>
            <w:r>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both"/>
              <w:rPr/>
            </w:pPr>
            <w:r>
              <w:rPr/>
              <w:t>at a price of $.01 per Warrant;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not less than 30 days’ prior written notice of redemption (the “30-day redemption period”) to each warrant 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for cash, we may exercise our redemption right even if we are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Ordinary Shares issuable upon exercise of the Private Placement Warrants) will not be transferable, assignable or salable until 30 days after the completion of our Business Combination. The Private Placement Warrants have terms and provisions that are identical to those of the Warrants being sold as part of the units in our Initial Public Offering, including as to exercise price, exercisability and exercise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 In April 2025, we filed a registration statement (333-286361) for the resale of the Ordinary Shares underlying these Private Placement Warrants and the registration statement was declared effective on May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and EarlyBirdCapital (and/or its designees) have agreed not to transfer, assign or sell any of the Private Placement Warrants until the date that is 180 days after the date we complete our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Warrant issued in April 2026</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Amendment, Waiver and Exchange Agreement (the “Exchange Agreement”) between the Company and ATW Partners (the “Holder”), dated April 28, 2026 (the “Exchange Date”), the Company issued to the Investor a warrant to purchase 1,125,000 ordinary shares at an initial exercise price of $8.00 per share (the “April 2026 Warrant”). The April 2026 Warrant has a three-year term and is exercisable, in whole or in part, at the option of the Holder. The exercise price of the April 2026 Warrant is subject to full-ratchet anti-dilution adjustments and other price protections. If the Company issues or sells or enters into any agreement to issue or sell, “Variable Price Securities” (defined in the April 2026 Warrant) after the Exchange Date that are issuable pursuant to such agreement or convertible into or exchangeable or exercisable for Ordinary Shares at a price which varies or may vary with the market price of the Ordinary Shares, the Holder shall have the right, but not the obligation, in its sole discretion to substitute the Variable Price for the Exercise Price upon exercise of this Warrant.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and from time to time on or after the Exchange Date there occurs any share split, share dividend, share combination recapitalization or other similar transaction involving the Ordinary Shares (each, a “Share Combination Event”, and such date thereof, the “Share Combination Event Date”) and the Event Market Price is less than the Exercise Price then in effect, then on the sixteenth (16th) Trading Day immediately following such Share Combination Event, the Exercise Price then in effect on such sixteenth (16th) Trading Day shall be reduced (but in no event increased) to the Event Market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8" w:name="ea029761301ex11-1.htm"/>
      <w:bookmarkStart w:id="49" w:name="ksea029761301ex111"/>
      <w:bookmarkEnd w:id="48"/>
      <w:bookmarkEnd w:id="49"/>
      <w:r>
        <w:rPr>
          <w:b/>
        </w:rPr>
        <w:t>Exhibit 11.1</w:t>
      </w:r>
      <w:r>
        <w:br w:type="page"/>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4"/>
        <w:gridCol w:w="8680"/>
        <w:gridCol w:w="531"/>
      </w:tblGrid>
      <w:tr>
        <w:trPr/>
        <w:tc>
          <w:tcPr>
            <w:tcW w:w="994"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both"/>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94"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both"/>
              <w:rPr/>
            </w:pPr>
            <w:r>
              <w:rPr/>
              <w:t> </w:t>
            </w:r>
          </w:p>
        </w:tc>
        <w:tc>
          <w:tcPr>
            <w:tcW w:w="531" w:type="dxa"/>
            <w:tcBorders/>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left"/>
              <w:rPr>
                <w:b/>
                <w:caps/>
              </w:rPr>
            </w:pPr>
            <w:r>
              <w:rPr>
                <w:b/>
                <w:caps/>
              </w:rPr>
              <w:t>PART I</w:t>
            </w:r>
          </w:p>
        </w:tc>
        <w:tc>
          <w:tcPr>
            <w:tcW w:w="8680"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before="0" w:after="283"/>
              <w:jc w:val="center"/>
              <w:rPr/>
            </w:pPr>
            <w:r>
              <w:rPr/>
              <w:t>2</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1.</w:t>
            </w:r>
          </w:p>
        </w:tc>
        <w:tc>
          <w:tcPr>
            <w:tcW w:w="8680" w:type="dxa"/>
            <w:tcBorders/>
            <w:shd w:fill="CCEEFF" w:val="clear"/>
            <w:vAlign w:val="center"/>
          </w:tcPr>
          <w:p>
            <w:pPr>
              <w:pStyle w:val="TableContents"/>
              <w:bidi w:val="0"/>
              <w:spacing w:before="0" w:after="283"/>
              <w:jc w:val="both"/>
              <w:rPr/>
            </w:pPr>
            <w:r>
              <w:rPr/>
              <w:t>Applicability</w:t>
            </w:r>
          </w:p>
        </w:tc>
        <w:tc>
          <w:tcPr>
            <w:tcW w:w="531" w:type="dxa"/>
            <w:tcBorders/>
            <w:shd w:fill="CCEEFF" w:val="clear"/>
            <w:vAlign w:val="center"/>
          </w:tcPr>
          <w:p>
            <w:pPr>
              <w:pStyle w:val="TableContents"/>
              <w:bidi w:val="0"/>
              <w:spacing w:before="0" w:after="283"/>
              <w:jc w:val="center"/>
              <w:rPr/>
            </w:pPr>
            <w:r>
              <w:rPr/>
              <w:t>2</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2.</w:t>
            </w:r>
          </w:p>
        </w:tc>
        <w:tc>
          <w:tcPr>
            <w:tcW w:w="8680" w:type="dxa"/>
            <w:tcBorders/>
            <w:shd w:fill="CCEEFF" w:val="clear"/>
            <w:vAlign w:val="center"/>
          </w:tcPr>
          <w:p>
            <w:pPr>
              <w:pStyle w:val="TableContents"/>
              <w:bidi w:val="0"/>
              <w:spacing w:before="0" w:after="283"/>
              <w:jc w:val="both"/>
              <w:rPr/>
            </w:pPr>
            <w:r>
              <w:rPr/>
              <w:t>General Policy: No Trading or Causing Trading While in Possession of Material Nonpublic Information</w:t>
            </w:r>
          </w:p>
        </w:tc>
        <w:tc>
          <w:tcPr>
            <w:tcW w:w="531" w:type="dxa"/>
            <w:tcBorders/>
            <w:shd w:fill="CCEEFF" w:val="clear"/>
            <w:vAlign w:val="center"/>
          </w:tcPr>
          <w:p>
            <w:pPr>
              <w:pStyle w:val="TableContents"/>
              <w:bidi w:val="0"/>
              <w:spacing w:before="0" w:after="283"/>
              <w:jc w:val="center"/>
              <w:rPr/>
            </w:pPr>
            <w:r>
              <w:rPr/>
              <w:t>3</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3.</w:t>
            </w:r>
          </w:p>
        </w:tc>
        <w:tc>
          <w:tcPr>
            <w:tcW w:w="8680" w:type="dxa"/>
            <w:tcBorders/>
            <w:shd w:fill="CCEEFF" w:val="clear"/>
            <w:vAlign w:val="center"/>
          </w:tcPr>
          <w:p>
            <w:pPr>
              <w:pStyle w:val="TableContents"/>
              <w:bidi w:val="0"/>
              <w:spacing w:before="0" w:after="283"/>
              <w:jc w:val="both"/>
              <w:rPr/>
            </w:pPr>
            <w:r>
              <w:rPr/>
              <w:t>Definitions</w:t>
            </w:r>
          </w:p>
        </w:tc>
        <w:tc>
          <w:tcPr>
            <w:tcW w:w="531" w:type="dxa"/>
            <w:tcBorders/>
            <w:shd w:fill="CCEEFF" w:val="clear"/>
            <w:vAlign w:val="center"/>
          </w:tcPr>
          <w:p>
            <w:pPr>
              <w:pStyle w:val="TableContents"/>
              <w:bidi w:val="0"/>
              <w:spacing w:before="0" w:after="283"/>
              <w:jc w:val="center"/>
              <w:rPr/>
            </w:pPr>
            <w:r>
              <w:rPr/>
              <w:t>4</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4.</w:t>
            </w:r>
          </w:p>
        </w:tc>
        <w:tc>
          <w:tcPr>
            <w:tcW w:w="8680" w:type="dxa"/>
            <w:tcBorders/>
            <w:shd w:fill="CCEEFF" w:val="clear"/>
            <w:vAlign w:val="center"/>
          </w:tcPr>
          <w:p>
            <w:pPr>
              <w:pStyle w:val="TableContents"/>
              <w:bidi w:val="0"/>
              <w:spacing w:before="0" w:after="283"/>
              <w:jc w:val="both"/>
              <w:rPr/>
            </w:pPr>
            <w:r>
              <w:rPr/>
              <w:t>Violations of Insider Trading Rules and Regulations</w:t>
            </w:r>
          </w:p>
        </w:tc>
        <w:tc>
          <w:tcPr>
            <w:tcW w:w="531" w:type="dxa"/>
            <w:tcBorders/>
            <w:shd w:fill="CCEEFF" w:val="clear"/>
            <w:vAlign w:val="center"/>
          </w:tcPr>
          <w:p>
            <w:pPr>
              <w:pStyle w:val="TableContents"/>
              <w:bidi w:val="0"/>
              <w:spacing w:before="0" w:after="283"/>
              <w:jc w:val="center"/>
              <w:rPr/>
            </w:pPr>
            <w:r>
              <w:rPr/>
              <w:t>6</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left"/>
              <w:rPr>
                <w:b/>
                <w:caps/>
              </w:rPr>
            </w:pPr>
            <w:r>
              <w:rPr>
                <w:b/>
                <w:caps/>
              </w:rPr>
              <w:t>PART II</w:t>
            </w:r>
          </w:p>
        </w:tc>
        <w:tc>
          <w:tcPr>
            <w:tcW w:w="8680"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before="0" w:after="283"/>
              <w:jc w:val="center"/>
              <w:rPr/>
            </w:pPr>
            <w:r>
              <w:rPr/>
              <w:t>6</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1.</w:t>
            </w:r>
          </w:p>
        </w:tc>
        <w:tc>
          <w:tcPr>
            <w:tcW w:w="8680" w:type="dxa"/>
            <w:tcBorders/>
            <w:shd w:fill="CCEEFF" w:val="clear"/>
            <w:vAlign w:val="center"/>
          </w:tcPr>
          <w:p>
            <w:pPr>
              <w:pStyle w:val="TableContents"/>
              <w:bidi w:val="0"/>
              <w:spacing w:before="0" w:after="283"/>
              <w:jc w:val="both"/>
              <w:rPr/>
            </w:pPr>
            <w:r>
              <w:rPr/>
              <w:t>Blackout Periods</w:t>
            </w:r>
          </w:p>
        </w:tc>
        <w:tc>
          <w:tcPr>
            <w:tcW w:w="531" w:type="dxa"/>
            <w:tcBorders/>
            <w:shd w:fill="CCEEFF" w:val="clear"/>
            <w:vAlign w:val="center"/>
          </w:tcPr>
          <w:p>
            <w:pPr>
              <w:pStyle w:val="TableContents"/>
              <w:bidi w:val="0"/>
              <w:spacing w:before="0" w:after="283"/>
              <w:jc w:val="center"/>
              <w:rPr/>
            </w:pPr>
            <w:r>
              <w:rPr/>
              <w:t>6</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2.</w:t>
            </w:r>
          </w:p>
        </w:tc>
        <w:tc>
          <w:tcPr>
            <w:tcW w:w="8680" w:type="dxa"/>
            <w:tcBorders/>
            <w:shd w:fill="CCEEFF" w:val="clear"/>
            <w:vAlign w:val="center"/>
          </w:tcPr>
          <w:p>
            <w:pPr>
              <w:pStyle w:val="TableContents"/>
              <w:bidi w:val="0"/>
              <w:spacing w:before="0" w:after="283"/>
              <w:jc w:val="both"/>
              <w:rPr/>
            </w:pPr>
            <w:r>
              <w:rPr/>
              <w:t>Trading Window</w:t>
            </w:r>
          </w:p>
        </w:tc>
        <w:tc>
          <w:tcPr>
            <w:tcW w:w="531" w:type="dxa"/>
            <w:tcBorders/>
            <w:shd w:fill="CCEEFF" w:val="clear"/>
            <w:vAlign w:val="center"/>
          </w:tcPr>
          <w:p>
            <w:pPr>
              <w:pStyle w:val="TableContents"/>
              <w:bidi w:val="0"/>
              <w:spacing w:before="0" w:after="283"/>
              <w:jc w:val="center"/>
              <w:rPr/>
            </w:pPr>
            <w:r>
              <w:rPr/>
              <w:t>8</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3.</w:t>
            </w:r>
          </w:p>
        </w:tc>
        <w:tc>
          <w:tcPr>
            <w:tcW w:w="8680" w:type="dxa"/>
            <w:tcBorders/>
            <w:shd w:fill="CCEEFF" w:val="clear"/>
            <w:vAlign w:val="center"/>
          </w:tcPr>
          <w:p>
            <w:pPr>
              <w:pStyle w:val="TableContents"/>
              <w:bidi w:val="0"/>
              <w:spacing w:before="0" w:after="283"/>
              <w:jc w:val="both"/>
              <w:rPr/>
            </w:pPr>
            <w:r>
              <w:rPr/>
              <w:t>Pre-Clearance of Securities Transactions</w:t>
            </w:r>
          </w:p>
        </w:tc>
        <w:tc>
          <w:tcPr>
            <w:tcW w:w="531" w:type="dxa"/>
            <w:tcBorders/>
            <w:shd w:fill="CCEEFF" w:val="clear"/>
            <w:vAlign w:val="center"/>
          </w:tcPr>
          <w:p>
            <w:pPr>
              <w:pStyle w:val="TableContents"/>
              <w:bidi w:val="0"/>
              <w:spacing w:before="0" w:after="283"/>
              <w:jc w:val="center"/>
              <w:rPr/>
            </w:pPr>
            <w:r>
              <w:rPr/>
              <w:t>8</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4.</w:t>
            </w:r>
          </w:p>
        </w:tc>
        <w:tc>
          <w:tcPr>
            <w:tcW w:w="8680" w:type="dxa"/>
            <w:tcBorders/>
            <w:shd w:fill="CCEEFF" w:val="clear"/>
            <w:vAlign w:val="center"/>
          </w:tcPr>
          <w:p>
            <w:pPr>
              <w:pStyle w:val="TableContents"/>
              <w:bidi w:val="0"/>
              <w:spacing w:before="0" w:after="283"/>
              <w:jc w:val="both"/>
              <w:rPr/>
            </w:pPr>
            <w:r>
              <w:rPr/>
              <w:t>Prohibited Transactions</w:t>
            </w:r>
          </w:p>
        </w:tc>
        <w:tc>
          <w:tcPr>
            <w:tcW w:w="531" w:type="dxa"/>
            <w:tcBorders/>
            <w:shd w:fill="CCEEFF" w:val="clear"/>
            <w:vAlign w:val="center"/>
          </w:tcPr>
          <w:p>
            <w:pPr>
              <w:pStyle w:val="TableContents"/>
              <w:bidi w:val="0"/>
              <w:spacing w:before="0" w:after="283"/>
              <w:jc w:val="center"/>
              <w:rPr/>
            </w:pPr>
            <w:r>
              <w:rPr/>
              <w:t>8</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left"/>
              <w:rPr>
                <w:b/>
                <w:caps/>
              </w:rPr>
            </w:pPr>
            <w:r>
              <w:rPr>
                <w:b/>
                <w:caps/>
              </w:rPr>
              <w:t>PART III</w:t>
            </w:r>
          </w:p>
        </w:tc>
        <w:tc>
          <w:tcPr>
            <w:tcW w:w="8680" w:type="dxa"/>
            <w:tcBorders/>
            <w:shd w:fill="CCEEFF" w:val="clear"/>
            <w:vAlign w:val="center"/>
          </w:tcPr>
          <w:p>
            <w:pPr>
              <w:pStyle w:val="TableContents"/>
              <w:bidi w:val="0"/>
              <w:spacing w:before="0" w:after="283"/>
              <w:jc w:val="left"/>
              <w:rPr>
                <w:sz w:val="4"/>
                <w:szCs w:val="4"/>
              </w:rPr>
            </w:pPr>
            <w:r>
              <w:rPr>
                <w:sz w:val="4"/>
                <w:szCs w:val="4"/>
              </w:rPr>
            </w:r>
          </w:p>
        </w:tc>
        <w:tc>
          <w:tcPr>
            <w:tcW w:w="531" w:type="dxa"/>
            <w:tcBorders/>
            <w:shd w:fill="CCEEFF" w:val="clear"/>
            <w:vAlign w:val="center"/>
          </w:tcPr>
          <w:p>
            <w:pPr>
              <w:pStyle w:val="TableContents"/>
              <w:bidi w:val="0"/>
              <w:spacing w:before="0" w:after="283"/>
              <w:jc w:val="center"/>
              <w:rPr/>
            </w:pPr>
            <w:r>
              <w:rPr/>
              <w:t>9</w:t>
            </w:r>
          </w:p>
        </w:tc>
      </w:tr>
      <w:tr>
        <w:trPr/>
        <w:tc>
          <w:tcPr>
            <w:tcW w:w="994" w:type="dxa"/>
            <w:tcBorders/>
            <w:shd w:fill="FFFFFF" w:val="clear"/>
            <w:vAlign w:val="center"/>
          </w:tcPr>
          <w:p>
            <w:pPr>
              <w:pStyle w:val="TableContents"/>
              <w:bidi w:val="0"/>
              <w:spacing w:before="0" w:after="283"/>
              <w:jc w:val="left"/>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1.</w:t>
            </w:r>
          </w:p>
        </w:tc>
        <w:tc>
          <w:tcPr>
            <w:tcW w:w="8680" w:type="dxa"/>
            <w:tcBorders/>
            <w:shd w:fill="CCEEFF" w:val="clear"/>
            <w:vAlign w:val="center"/>
          </w:tcPr>
          <w:p>
            <w:pPr>
              <w:pStyle w:val="TableContents"/>
              <w:bidi w:val="0"/>
              <w:spacing w:before="0" w:after="283"/>
              <w:jc w:val="both"/>
              <w:rPr/>
            </w:pPr>
            <w:r>
              <w:rPr/>
              <w:t>Public Resale – Rule 144</w:t>
            </w:r>
          </w:p>
        </w:tc>
        <w:tc>
          <w:tcPr>
            <w:tcW w:w="531" w:type="dxa"/>
            <w:tcBorders/>
            <w:shd w:fill="CCEEFF" w:val="clear"/>
            <w:vAlign w:val="center"/>
          </w:tcPr>
          <w:p>
            <w:pPr>
              <w:pStyle w:val="TableContents"/>
              <w:bidi w:val="0"/>
              <w:spacing w:before="0" w:after="283"/>
              <w:jc w:val="center"/>
              <w:rPr/>
            </w:pPr>
            <w:r>
              <w:rPr/>
              <w:t>9</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2.</w:t>
            </w:r>
          </w:p>
        </w:tc>
        <w:tc>
          <w:tcPr>
            <w:tcW w:w="8680" w:type="dxa"/>
            <w:tcBorders/>
            <w:shd w:fill="CCEEFF" w:val="clear"/>
            <w:vAlign w:val="center"/>
          </w:tcPr>
          <w:p>
            <w:pPr>
              <w:pStyle w:val="TableContents"/>
              <w:bidi w:val="0"/>
              <w:spacing w:before="0" w:after="283"/>
              <w:jc w:val="both"/>
              <w:rPr/>
            </w:pPr>
            <w:r>
              <w:rPr/>
              <w:t>Private Resale</w:t>
            </w:r>
          </w:p>
        </w:tc>
        <w:tc>
          <w:tcPr>
            <w:tcW w:w="531" w:type="dxa"/>
            <w:tcBorders/>
            <w:shd w:fill="CCEEFF" w:val="clear"/>
            <w:vAlign w:val="center"/>
          </w:tcPr>
          <w:p>
            <w:pPr>
              <w:pStyle w:val="TableContents"/>
              <w:bidi w:val="0"/>
              <w:spacing w:before="0" w:after="283"/>
              <w:jc w:val="center"/>
              <w:rPr/>
            </w:pPr>
            <w:r>
              <w:rPr/>
              <w:t>10</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3.</w:t>
            </w:r>
          </w:p>
        </w:tc>
        <w:tc>
          <w:tcPr>
            <w:tcW w:w="8680" w:type="dxa"/>
            <w:tcBorders/>
            <w:shd w:fill="CCEEFF" w:val="clear"/>
            <w:vAlign w:val="center"/>
          </w:tcPr>
          <w:p>
            <w:pPr>
              <w:pStyle w:val="TableContents"/>
              <w:bidi w:val="0"/>
              <w:spacing w:before="0" w:after="283"/>
              <w:jc w:val="both"/>
              <w:rPr/>
            </w:pPr>
            <w:r>
              <w:rPr/>
              <w:t>Filing Requirements</w:t>
            </w:r>
          </w:p>
        </w:tc>
        <w:tc>
          <w:tcPr>
            <w:tcW w:w="531" w:type="dxa"/>
            <w:tcBorders/>
            <w:shd w:fill="CCEEFF" w:val="clear"/>
            <w:vAlign w:val="center"/>
          </w:tcPr>
          <w:p>
            <w:pPr>
              <w:pStyle w:val="TableContents"/>
              <w:bidi w:val="0"/>
              <w:spacing w:before="0" w:after="283"/>
              <w:jc w:val="center"/>
              <w:rPr/>
            </w:pPr>
            <w:r>
              <w:rPr/>
              <w:t>10</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left"/>
              <w:rPr>
                <w:b/>
                <w:caps/>
              </w:rPr>
            </w:pPr>
            <w:r>
              <w:rPr>
                <w:b/>
                <w:caps/>
              </w:rPr>
              <w:t>PART IV</w:t>
            </w:r>
          </w:p>
        </w:tc>
        <w:tc>
          <w:tcPr>
            <w:tcW w:w="8680" w:type="dxa"/>
            <w:tcBorders/>
            <w:shd w:fill="CCEEFF" w:val="clear"/>
            <w:vAlign w:val="center"/>
          </w:tcPr>
          <w:p>
            <w:pPr>
              <w:pStyle w:val="TableContents"/>
              <w:bidi w:val="0"/>
              <w:spacing w:before="0" w:after="283"/>
              <w:jc w:val="both"/>
              <w:rPr/>
            </w:pPr>
            <w:r>
              <w:rPr/>
              <w:t> </w:t>
            </w:r>
          </w:p>
        </w:tc>
        <w:tc>
          <w:tcPr>
            <w:tcW w:w="531" w:type="dxa"/>
            <w:tcBorders/>
            <w:shd w:fill="CCEEFF" w:val="clear"/>
            <w:vAlign w:val="center"/>
          </w:tcPr>
          <w:p>
            <w:pPr>
              <w:pStyle w:val="TableContents"/>
              <w:bidi w:val="0"/>
              <w:spacing w:before="0" w:after="283"/>
              <w:jc w:val="center"/>
              <w:rPr/>
            </w:pPr>
            <w:r>
              <w:rPr/>
              <w:t>11</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1.</w:t>
            </w:r>
          </w:p>
        </w:tc>
        <w:tc>
          <w:tcPr>
            <w:tcW w:w="8680" w:type="dxa"/>
            <w:tcBorders/>
            <w:shd w:fill="CCEEFF" w:val="clear"/>
            <w:vAlign w:val="center"/>
          </w:tcPr>
          <w:p>
            <w:pPr>
              <w:pStyle w:val="TableContents"/>
              <w:bidi w:val="0"/>
              <w:spacing w:before="0" w:after="283"/>
              <w:jc w:val="both"/>
              <w:rPr/>
            </w:pPr>
            <w:r>
              <w:rPr/>
              <w:t>Holding Foreign Insiders Accountable Act (HFIAA)</w:t>
            </w:r>
          </w:p>
        </w:tc>
        <w:tc>
          <w:tcPr>
            <w:tcW w:w="531" w:type="dxa"/>
            <w:tcBorders/>
            <w:shd w:fill="CCEEFF" w:val="clear"/>
            <w:vAlign w:val="center"/>
          </w:tcPr>
          <w:p>
            <w:pPr>
              <w:pStyle w:val="TableContents"/>
              <w:bidi w:val="0"/>
              <w:spacing w:before="0" w:after="283"/>
              <w:jc w:val="center"/>
              <w:rPr/>
            </w:pPr>
            <w:r>
              <w:rPr/>
              <w:t>11</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2.</w:t>
            </w:r>
          </w:p>
        </w:tc>
        <w:tc>
          <w:tcPr>
            <w:tcW w:w="8680" w:type="dxa"/>
            <w:tcBorders/>
            <w:shd w:fill="CCEEFF" w:val="clear"/>
            <w:vAlign w:val="center"/>
          </w:tcPr>
          <w:p>
            <w:pPr>
              <w:pStyle w:val="TableContents"/>
              <w:bidi w:val="0"/>
              <w:spacing w:before="0" w:after="283"/>
              <w:jc w:val="both"/>
              <w:rPr/>
            </w:pPr>
            <w:r>
              <w:rPr/>
              <w:t>Covered Persons</w:t>
            </w:r>
          </w:p>
        </w:tc>
        <w:tc>
          <w:tcPr>
            <w:tcW w:w="531" w:type="dxa"/>
            <w:tcBorders/>
            <w:shd w:fill="CCEEFF" w:val="clear"/>
            <w:vAlign w:val="center"/>
          </w:tcPr>
          <w:p>
            <w:pPr>
              <w:pStyle w:val="TableContents"/>
              <w:bidi w:val="0"/>
              <w:spacing w:before="0" w:after="283"/>
              <w:jc w:val="center"/>
              <w:rPr/>
            </w:pPr>
            <w:r>
              <w:rPr/>
              <w:t>11</w:t>
            </w:r>
          </w:p>
        </w:tc>
      </w:tr>
      <w:tr>
        <w:trPr/>
        <w:tc>
          <w:tcPr>
            <w:tcW w:w="994" w:type="dxa"/>
            <w:tcBorders/>
            <w:shd w:fill="FFFFFF" w:val="clear"/>
            <w:vAlign w:val="center"/>
          </w:tcPr>
          <w:p>
            <w:pPr>
              <w:pStyle w:val="TableContents"/>
              <w:bidi w:val="0"/>
              <w:spacing w:before="0" w:after="283"/>
              <w:jc w:val="center"/>
              <w:rPr/>
            </w:pPr>
            <w:r>
              <w:rPr/>
              <w:t> </w:t>
            </w:r>
          </w:p>
        </w:tc>
        <w:tc>
          <w:tcPr>
            <w:tcW w:w="8680" w:type="dxa"/>
            <w:tcBorders/>
            <w:shd w:fill="FFFFFF" w:val="clear"/>
            <w:vAlign w:val="center"/>
          </w:tcPr>
          <w:p>
            <w:pPr>
              <w:pStyle w:val="TableContents"/>
              <w:bidi w:val="0"/>
              <w:spacing w:before="0" w:after="283"/>
              <w:jc w:val="both"/>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94" w:type="dxa"/>
            <w:tcBorders/>
            <w:shd w:fill="CCEEFF" w:val="clear"/>
            <w:vAlign w:val="center"/>
          </w:tcPr>
          <w:p>
            <w:pPr>
              <w:pStyle w:val="TableContents"/>
              <w:bidi w:val="0"/>
              <w:spacing w:before="0" w:after="283"/>
              <w:jc w:val="center"/>
              <w:rPr/>
            </w:pPr>
            <w:r>
              <w:rPr/>
              <w:t>3.</w:t>
            </w:r>
          </w:p>
        </w:tc>
        <w:tc>
          <w:tcPr>
            <w:tcW w:w="8680" w:type="dxa"/>
            <w:tcBorders/>
            <w:shd w:fill="CCEEFF" w:val="clear"/>
            <w:vAlign w:val="center"/>
          </w:tcPr>
          <w:p>
            <w:pPr>
              <w:pStyle w:val="TableContents"/>
              <w:bidi w:val="0"/>
              <w:spacing w:before="0" w:after="283"/>
              <w:jc w:val="both"/>
              <w:rPr/>
            </w:pPr>
            <w:r>
              <w:rPr/>
              <w:t>Filing Requirements</w:t>
            </w:r>
          </w:p>
        </w:tc>
        <w:tc>
          <w:tcPr>
            <w:tcW w:w="531" w:type="dxa"/>
            <w:tcBorders/>
            <w:shd w:fill="CCEEFF" w:val="clear"/>
            <w:vAlign w:val="center"/>
          </w:tcPr>
          <w:p>
            <w:pPr>
              <w:pStyle w:val="TableContents"/>
              <w:bidi w:val="0"/>
              <w:spacing w:before="0" w:after="283"/>
              <w:jc w:val="center"/>
              <w:rPr/>
            </w:pPr>
            <w:r>
              <w:rPr/>
              <w:t>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Policy describes the standards of GCL Global Holdings Ltd and its subsidiaries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trading, and causing the trading of, the Company’s securities or securities of certain other publicly traded companies while in possession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of this Insider Trading Policy prohibits trading of the Company’s securities in certain circumstances and applies to all directors, officers and employees and their respective immediate family members of the Company (“</w:t>
      </w:r>
      <w:r>
        <w:rPr>
          <w:rFonts w:ascii="Times New Roman;Times;Serif" w:hAnsi="Times New Roman;Times;Serif"/>
          <w:b/>
          <w:i w:val="false"/>
          <w:caps w:val="false"/>
          <w:smallCaps w:val="false"/>
          <w:sz w:val="20"/>
        </w:rPr>
        <w:t>Covered Persons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 of this Insider Trading Policy imposes special additional trading restrictions and applies to all (i) directors of the Company, and (ii) executive officers of the Company/officers of the Company (together with the directors, “</w:t>
      </w:r>
      <w:r>
        <w:rPr>
          <w:rFonts w:ascii="Times New Roman;Times;Serif" w:hAnsi="Times New Roman;Times;Serif"/>
          <w:b/>
          <w:i w:val="false"/>
          <w:caps w:val="false"/>
          <w:smallCaps w:val="false"/>
          <w:sz w:val="20"/>
        </w:rPr>
        <w:t>Company Insiders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III of this Insider Trading Policy summarizes other limitations on securities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This is because the employee, executive officer or director knows information that will probably cause the share price to change, and it would be unfair for the employee or director to have an advantage (knowledge that the share price will change) that the rest of the investing public does not have. The prohibitions against insider trading apply to trades, tips and recommendations by virtually any person, including all persons associated with the Company, if the information involved is “material” and “nonpublic.” These terms are defined in this Insider Trading Policy under Part I, Section 3 below. The prohibitions would apply to any director, officer or employee who buys or sells securities on the basis of material nonpublic information that he or she obtained about the Company, its customers (e.g. resellers and distributors), suppliers (e.g., game publishers and studios), partners, competitors or other companies with which the Company has contractual relationships or may be negotiating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any of the provisions of this Insider Trading Policy, please contact the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Company Insiders are required to sign the attached acknowledgment and certification.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265" w:type="dxa"/>
            <w:tcBorders/>
            <w:vAlign w:val="center"/>
          </w:tcPr>
          <w:p>
            <w:pPr>
              <w:pStyle w:val="TableContents"/>
              <w:bidi w:val="0"/>
              <w:spacing w:before="0" w:after="283"/>
              <w:jc w:val="both"/>
              <w:rPr>
                <w:u w:val="single"/>
              </w:rPr>
            </w:pPr>
            <w:r>
              <w:rPr>
                <w:u w:val="single"/>
              </w:rPr>
              <w:t>Applicability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trading or other transactions in (i) the Company’s securities, including ordinary shares, options and any other securities that the Company may issue, such as preferred shares, notes, bonds and convertible securities, as well as to derivative securities relating to any of the Company’s securities, whether or not issued by the Company and (ii) the securities of certain other companies, including common stock or ordinary shares, options and other securities issued by those companies as well as derivative securities relating to any of those companies’ securities, where the person trading used information obtained while working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employees and officers of the Company and to all members of the Company’s board of directors and their respective family members.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both"/>
              <w:rPr>
                <w:u w:val="single"/>
              </w:rPr>
            </w:pPr>
            <w:r>
              <w:rPr>
                <w:u w:val="single"/>
              </w:rPr>
              <w:t>General Policy: No Trading or Causing Trading While in Possession of Material Nonpublic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 director, officer or employee or any of their immediate family members may purchase or sell, or offer to purchase or sell, any Company securities, whether or not issued by the Company, while in possession of material nonpublic information about the Company. (The terms “material” and “nonpublic” are defined in Part I, Section 3(a) and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director, officer or employee or any of their immediate family members who knows of any material nonpublic information about the Company may communicate that information to (“</w:t>
      </w:r>
      <w:r>
        <w:rPr>
          <w:rFonts w:ascii="Times New Roman;Times;Serif" w:hAnsi="Times New Roman;Times;Serif"/>
          <w:b/>
          <w:i w:val="false"/>
          <w:caps w:val="false"/>
          <w:smallCaps w:val="false"/>
          <w:sz w:val="20"/>
        </w:rPr>
        <w:t>tip</w:t>
      </w:r>
      <w:r>
        <w:rPr>
          <w:rFonts w:ascii="Times New Roman;Times;Serif" w:hAnsi="Times New Roman;Times;Serif"/>
          <w:b w:val="false"/>
          <w:i w:val="false"/>
          <w:caps w:val="false"/>
          <w:smallCaps w:val="false"/>
          <w:sz w:val="20"/>
        </w:rPr>
        <w:t>”) any other person, including family members and friends, or otherwise disclose such information without the Company’s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 director, officer or employee or any of their immediate family members may purchase or sell any security of any other publicly traded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Company’s Group Chief Financial Officer (which is defined in Part I, Section 3(c)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Covered Persons must “pre-clear” all trading in securities of the Company in accordance with the procedures set forth in Part II, Section 3 below.</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pPr>
            <w:r>
              <w:rPr/>
              <w:t>3.</w:t>
            </w:r>
          </w:p>
        </w:tc>
        <w:tc>
          <w:tcPr>
            <w:tcW w:w="8370" w:type="dxa"/>
            <w:tcBorders/>
            <w:vAlign w:val="center"/>
          </w:tcPr>
          <w:p>
            <w:pPr>
              <w:pStyle w:val="TableContents"/>
              <w:bidi w:val="0"/>
              <w:spacing w:before="0" w:after="283"/>
              <w:jc w:val="both"/>
              <w:rPr>
                <w:u w:val="single"/>
              </w:rPr>
            </w:pPr>
            <w:r>
              <w:rPr>
                <w:u w:val="single"/>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Material.</w:t>
      </w:r>
      <w:r>
        <w:rPr>
          <w:rFonts w:ascii="Times New Roman;Times;Serif" w:hAnsi="Times New Roman;Times;Serif"/>
          <w:b w:val="false"/>
          <w:i w:val="false"/>
          <w:caps w:val="false"/>
          <w:smallCaps w:val="false"/>
          <w:sz w:val="20"/>
        </w:rPr>
        <w:t xml:space="preserve">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dealing with the following subjects is reasonably likely to be found material in particular situations: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significant changes in the Company’s prospects (e.g., loss of a significant customer or business partner);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both"/>
              <w:rPr/>
            </w:pPr>
            <w:r>
              <w:rPr/>
              <w:t>significant write-downs in assets or increases in reserves;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0"/>
        <w:gridCol w:w="9997"/>
      </w:tblGrid>
      <w:tr>
        <w:trPr/>
        <w:tc>
          <w:tcPr>
            <w:tcW w:w="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Symbol" w:hAnsi="Symbol"/>
              </w:rPr>
            </w:pPr>
            <w:r>
              <w:rPr>
                <w:rFonts w:ascii="Symbol" w:hAnsi="Symbol"/>
              </w:rPr>
              <w:t>·</w:t>
            </w:r>
          </w:p>
        </w:tc>
        <w:tc>
          <w:tcPr>
            <w:tcW w:w="9997" w:type="dxa"/>
            <w:tcBorders/>
            <w:vAlign w:val="center"/>
          </w:tcPr>
          <w:p>
            <w:pPr>
              <w:pStyle w:val="TableContents"/>
              <w:bidi w:val="0"/>
              <w:spacing w:before="0" w:after="283"/>
              <w:jc w:val="both"/>
              <w:rPr/>
            </w:pPr>
            <w:r>
              <w:rPr/>
              <w:t>developments regarding significant litigation or government agency investigations;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649"/>
        <w:gridCol w:w="9360"/>
      </w:tblGrid>
      <w:tr>
        <w:trPr/>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Symbol" w:hAnsi="Symbol"/>
              </w:rPr>
            </w:pPr>
            <w:r>
              <w:rPr>
                <w:rFonts w:ascii="Symbol" w:hAnsi="Symbol"/>
              </w:rPr>
              <w:t>·</w:t>
            </w:r>
          </w:p>
        </w:tc>
        <w:tc>
          <w:tcPr>
            <w:tcW w:w="9360" w:type="dxa"/>
            <w:tcBorders/>
            <w:vAlign w:val="center"/>
          </w:tcPr>
          <w:p>
            <w:pPr>
              <w:pStyle w:val="TableContents"/>
              <w:bidi w:val="0"/>
              <w:spacing w:before="0" w:after="283"/>
              <w:jc w:val="both"/>
              <w:rPr/>
            </w:pPr>
            <w:r>
              <w:rPr/>
              <w:t>liquidity problems;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both"/>
              <w:rPr/>
            </w:pPr>
            <w:r>
              <w:rPr/>
              <w:t>changes in earnings estimates or unusual gains or losses in major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major changes in the Company’s management or the board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570"/>
        <w:gridCol w:w="9462"/>
      </w:tblGrid>
      <w:tr>
        <w:trPr/>
        <w:tc>
          <w:tcPr>
            <w:tcW w:w="1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rFonts w:ascii="Symbol" w:hAnsi="Symbol"/>
              </w:rPr>
            </w:pPr>
            <w:r>
              <w:rPr>
                <w:rFonts w:ascii="Symbol" w:hAnsi="Symbol"/>
              </w:rPr>
              <w:t>·</w:t>
            </w:r>
          </w:p>
        </w:tc>
        <w:tc>
          <w:tcPr>
            <w:tcW w:w="9462" w:type="dxa"/>
            <w:tcBorders/>
            <w:vAlign w:val="center"/>
          </w:tcPr>
          <w:p>
            <w:pPr>
              <w:pStyle w:val="TableContents"/>
              <w:bidi w:val="0"/>
              <w:spacing w:before="0" w:after="283"/>
              <w:jc w:val="both"/>
              <w:rPr/>
            </w:pPr>
            <w:r>
              <w:rPr/>
              <w:t>changes in dividends;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Symbol" w:hAnsi="Symbol"/>
              </w:rPr>
            </w:pPr>
            <w:r>
              <w:rPr>
                <w:rFonts w:ascii="Symbol" w:hAnsi="Symbol"/>
              </w:rPr>
              <w:t>·</w:t>
            </w:r>
          </w:p>
        </w:tc>
        <w:tc>
          <w:tcPr>
            <w:tcW w:w="9580" w:type="dxa"/>
            <w:tcBorders/>
            <w:vAlign w:val="center"/>
          </w:tcPr>
          <w:p>
            <w:pPr>
              <w:pStyle w:val="TableContents"/>
              <w:bidi w:val="0"/>
              <w:spacing w:before="0" w:after="283"/>
              <w:jc w:val="both"/>
              <w:rPr/>
            </w:pPr>
            <w:r>
              <w:rPr/>
              <w:t>extraordinary borrowings;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3"/>
        <w:gridCol w:w="9863"/>
      </w:tblGrid>
      <w:tr>
        <w:trPr/>
        <w:tc>
          <w:tcPr>
            <w:tcW w:w="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3" w:type="dxa"/>
            <w:tcBorders/>
            <w:vAlign w:val="center"/>
          </w:tcPr>
          <w:p>
            <w:pPr>
              <w:pStyle w:val="TableContents"/>
              <w:bidi w:val="0"/>
              <w:spacing w:before="0" w:after="283"/>
              <w:jc w:val="both"/>
              <w:rPr/>
            </w:pPr>
            <w:r>
              <w:rPr/>
              <w:t>major changes in accounting methods or policies;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37"/>
        <w:gridCol w:w="9766"/>
      </w:tblGrid>
      <w:tr>
        <w:trPr/>
        <w:tc>
          <w:tcPr>
            <w:tcW w:w="1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Symbol" w:hAnsi="Symbol"/>
              </w:rPr>
            </w:pPr>
            <w:r>
              <w:rPr>
                <w:rFonts w:ascii="Symbol" w:hAnsi="Symbol"/>
              </w:rPr>
              <w:t>·</w:t>
            </w:r>
          </w:p>
        </w:tc>
        <w:tc>
          <w:tcPr>
            <w:tcW w:w="9766" w:type="dxa"/>
            <w:tcBorders/>
            <w:vAlign w:val="center"/>
          </w:tcPr>
          <w:p>
            <w:pPr>
              <w:pStyle w:val="TableContents"/>
              <w:bidi w:val="0"/>
              <w:spacing w:before="0" w:after="283"/>
              <w:jc w:val="both"/>
              <w:rPr/>
            </w:pPr>
            <w:r>
              <w:rPr/>
              <w:t>award or loss of a significant contract;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both"/>
              <w:rPr/>
            </w:pPr>
            <w:r>
              <w:rPr/>
              <w:t>cybersecurity risks and incidents, including vulnerabilities and breaches;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527"/>
        <w:gridCol w:w="9518"/>
      </w:tblGrid>
      <w:tr>
        <w:trPr/>
        <w:tc>
          <w:tcPr>
            <w:tcW w:w="1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rFonts w:ascii="Symbol" w:hAnsi="Symbol"/>
              </w:rPr>
            </w:pPr>
            <w:r>
              <w:rPr>
                <w:rFonts w:ascii="Symbol" w:hAnsi="Symbol"/>
              </w:rPr>
              <w:t>·</w:t>
            </w:r>
          </w:p>
        </w:tc>
        <w:tc>
          <w:tcPr>
            <w:tcW w:w="9518" w:type="dxa"/>
            <w:tcBorders/>
            <w:vAlign w:val="center"/>
          </w:tcPr>
          <w:p>
            <w:pPr>
              <w:pStyle w:val="TableContents"/>
              <w:bidi w:val="0"/>
              <w:spacing w:before="0" w:after="283"/>
              <w:jc w:val="both"/>
              <w:rPr/>
            </w:pPr>
            <w:r>
              <w:rPr/>
              <w:t>changes in debt ratings;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proposals, plans or agreements, even if preliminary in nature, involving mergers, acquisitions, divestitures, recapitalizations, strategic alliances, licensing arrangements, or purchases or sales of substantial assets;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371"/>
        <w:gridCol w:w="9722"/>
      </w:tblGrid>
      <w:tr>
        <w:trPr/>
        <w:tc>
          <w:tcPr>
            <w:tcW w:w="11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Symbol" w:hAnsi="Symbol"/>
              </w:rPr>
            </w:pPr>
            <w:r>
              <w:rPr>
                <w:rFonts w:ascii="Symbol" w:hAnsi="Symbol"/>
              </w:rPr>
              <w:t>·</w:t>
            </w:r>
          </w:p>
        </w:tc>
        <w:tc>
          <w:tcPr>
            <w:tcW w:w="9722" w:type="dxa"/>
            <w:tcBorders/>
            <w:vAlign w:val="center"/>
          </w:tcPr>
          <w:p>
            <w:pPr>
              <w:pStyle w:val="TableContents"/>
              <w:bidi w:val="0"/>
              <w:spacing w:before="0" w:after="283"/>
              <w:jc w:val="both"/>
              <w:rPr/>
            </w:pPr>
            <w:r>
              <w:rPr/>
              <w:t>offerings of Company’s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Times;Serif" w:hAnsi="Times New Roman;Times;Serif"/>
          <w:b/>
          <w:i w:val="false"/>
          <w:caps w:val="false"/>
          <w:smallCaps w:val="false"/>
          <w:sz w:val="20"/>
        </w:rPr>
        <w:t>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Nonpublic.</w:t>
      </w:r>
      <w:r>
        <w:rPr>
          <w:rFonts w:ascii="Times New Roman;Times;Serif" w:hAnsi="Times New Roman;Times;Serif"/>
          <w:b w:val="false"/>
          <w:i w:val="false"/>
          <w:caps w:val="false"/>
          <w:smallCaps w:val="false"/>
          <w:sz w:val="20"/>
        </w:rPr>
        <w:t xml:space="preserve">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Nonpublic information may include: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both"/>
              <w:rPr/>
            </w:pPr>
            <w:r>
              <w:rPr/>
              <w:t>information available to a select group of analysts or brokers or institutional investors;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pPr>
            <w:r>
              <w:rPr/>
              <w:t>undisclosed facts that are the subject of rumors, even if the rumors are widely circulated;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information that has been entrusted to the Company on a confidential basis until a public announcement of the information has been made and enough time has elapsed for the market to respond to a public announcement of the information two trading days.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questions of materiality, if you are not sure whether information is considered public, you should either consult with the Compliance Officer or assume that the information is nonpublic and treat it as confidential.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Compliance Officer.</w:t>
      </w:r>
      <w:r>
        <w:rPr>
          <w:rFonts w:ascii="Times New Roman;Times;Serif" w:hAnsi="Times New Roman;Times;Serif"/>
          <w:b w:val="false"/>
          <w:i w:val="false"/>
          <w:caps w:val="false"/>
          <w:smallCaps w:val="false"/>
          <w:sz w:val="20"/>
        </w:rPr>
        <w:t xml:space="preserve"> The Company has appointed the Company’s Chief Financial Officer as its Compliance Officer for this Insider Trading Policy. The duties of the Compliance Officer include, but are not limited to,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rPr>
            </w:pPr>
            <w:r>
              <w:rPr>
                <w:rFonts w:ascii="Symbol" w:hAnsi="Symbol"/>
              </w:rPr>
              <w:t>·</w:t>
            </w:r>
          </w:p>
        </w:tc>
        <w:tc>
          <w:tcPr>
            <w:tcW w:w="9984" w:type="dxa"/>
            <w:tcBorders/>
            <w:vAlign w:val="center"/>
          </w:tcPr>
          <w:p>
            <w:pPr>
              <w:pStyle w:val="TableContents"/>
              <w:bidi w:val="0"/>
              <w:spacing w:before="0" w:after="283"/>
              <w:jc w:val="both"/>
              <w:rPr/>
            </w:pPr>
            <w:r>
              <w:rPr/>
              <w:t>assisting with implementation and enforcement of this Insider Trading Policy;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circulating this Insider Trading Policy to all employees and ensuring that this Policy is amended as necessary to remain up-to-date with U.S. insider trading rules and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pre-clearing all trading in securities of the Company by Covered Persons in accordance with the procedures set forth in Part II, Section 3 below;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providing approval of any Rule 10b5-1 plans under Part II, Section 1(c) below and any prohibited transactions under Part II, Section 4 below.</w:t>
            </w:r>
          </w:p>
        </w:tc>
      </w:tr>
    </w:tbl>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74"/>
        <w:gridCol w:w="392"/>
        <w:gridCol w:w="9739"/>
      </w:tblGrid>
      <w:tr>
        <w:trPr/>
        <w:tc>
          <w:tcPr>
            <w:tcW w:w="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4.</w:t>
            </w:r>
          </w:p>
        </w:tc>
        <w:tc>
          <w:tcPr>
            <w:tcW w:w="9739" w:type="dxa"/>
            <w:tcBorders/>
            <w:vAlign w:val="center"/>
          </w:tcPr>
          <w:p>
            <w:pPr>
              <w:pStyle w:val="TableContents"/>
              <w:bidi w:val="0"/>
              <w:spacing w:before="0" w:after="283"/>
              <w:jc w:val="both"/>
              <w:rPr>
                <w:u w:val="single"/>
              </w:rPr>
            </w:pPr>
            <w:r>
              <w:rPr>
                <w:u w:val="single"/>
              </w:rPr>
              <w:t>Violations of Insider Trading Rules and Regulations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Insider Trading Policy is absolutely mandatory.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Legal Penalties.</w:t>
      </w:r>
      <w:r>
        <w:rPr>
          <w:rFonts w:ascii="Times New Roman;Times;Serif" w:hAnsi="Times New Roman;Times;Serif"/>
          <w:b w:val="false"/>
          <w:i w:val="false"/>
          <w:caps w:val="false"/>
          <w:smallCaps w:val="false"/>
          <w:sz w:val="20"/>
        </w:rPr>
        <w:t xml:space="preserve"> A person who violates insider trading laws by engaging in transactions in a company’s securities when he or she has material nonpublic information can be sentenced to a jail term and required to pay a criminal penalty of several times the amount of profits gained or losses avoided.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to pay a criminal penalty of several times the amount of profits gained or losses avoided. Even for violations that result in a small or no profit, the SEC can seek penalties from a company and/or its management and supervisory personnel as control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Company-Imposed Penalties.</w:t>
      </w:r>
      <w:r>
        <w:rPr>
          <w:rFonts w:ascii="Times New Roman;Times;Serif" w:hAnsi="Times New Roman;Times;Serif"/>
          <w:b w:val="false"/>
          <w:i w:val="false"/>
          <w:caps w:val="false"/>
          <w:smallCaps w:val="false"/>
          <w:sz w:val="20"/>
        </w:rPr>
        <w:t xml:space="preserve"> Employees who violate this Insider Trading Policy may be subject to disciplinary action by the Company, including dismissal for cause. Any exceptions to the Policy, if permitted, may only be granted by the Compliance Officer and must be provided before any activity contrary to the above requirements takes place.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1.</w:t>
            </w:r>
          </w:p>
        </w:tc>
        <w:tc>
          <w:tcPr>
            <w:tcW w:w="8923" w:type="dxa"/>
            <w:tcBorders/>
            <w:vAlign w:val="center"/>
          </w:tcPr>
          <w:p>
            <w:pPr>
              <w:pStyle w:val="TableContents"/>
              <w:bidi w:val="0"/>
              <w:spacing w:before="0" w:after="283"/>
              <w:jc w:val="both"/>
              <w:rPr>
                <w:u w:val="single"/>
              </w:rPr>
            </w:pPr>
            <w:r>
              <w:rPr>
                <w:u w:val="single"/>
              </w:rPr>
              <w:t>Blackout Periods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Company Insiders are prohibited from trading in the Company’s securities during blackout periods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Semi-annual or Annual Blackout Periods.</w:t>
      </w:r>
      <w:r>
        <w:rPr>
          <w:rFonts w:ascii="Times New Roman;Times;Serif" w:hAnsi="Times New Roman;Times;Serif"/>
          <w:b w:val="false"/>
          <w:i w:val="false"/>
          <w:caps w:val="false"/>
          <w:smallCaps w:val="false"/>
          <w:sz w:val="20"/>
        </w:rPr>
        <w:t xml:space="preserve"> Trading in the Company’s securities is prohibited during the period beginning at the close of the market two weeks at the end of semi-annual or annual period and ending at the close of business on the second trading day following the date the Company’s financial results are publicly disclosed Form 6-K or Form 20-F is filed. During these periods, Company Insiders generally possess or are presumed to possess material nonpublic information about the Company’s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Other Blackout Periods.</w:t>
      </w:r>
      <w:r>
        <w:rPr>
          <w:rFonts w:ascii="Times New Roman;Times;Serif" w:hAnsi="Times New Roman;Times;Serif"/>
          <w:b w:val="false"/>
          <w:i w:val="false"/>
          <w:caps w:val="false"/>
          <w:smallCaps w:val="false"/>
          <w:sz w:val="20"/>
        </w:rPr>
        <w:t xml:space="preserve"> From time to time, other types of material nonpublic information regarding the Company (such as negotiation of mergers, acquisitions or dispositions, investigation and assessment of cybersecurity incidents) may be pending and not be publicly disclosed. While such material nonpublic information is pending, the Company may impose special blackout periods during which Company Insiders are prohibited from trading in the Company’s securities. If the Company imposes a special blackout period, it will notify the Company Insiders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Exception.</w:t>
      </w:r>
      <w:r>
        <w:rPr>
          <w:rFonts w:ascii="Times New Roman;Times;Serif" w:hAnsi="Times New Roman;Times;Serif"/>
          <w:b w:val="false"/>
          <w:i w:val="false"/>
          <w:caps w:val="false"/>
          <w:smallCaps w:val="false"/>
          <w:sz w:val="20"/>
        </w:rPr>
        <w:t xml:space="preserve"> These trading restrictions do not apply to transactions under a pre-existing written plan, contract, instruction, or arrangement under Rule 10b5-1 under the Securities Exchange Act of 1934 (an “</w:t>
      </w:r>
      <w:r>
        <w:rPr>
          <w:rFonts w:ascii="Times New Roman;Times;Serif" w:hAnsi="Times New Roman;Times;Serif"/>
          <w:b/>
          <w:i w:val="false"/>
          <w:caps w:val="false"/>
          <w:smallCaps w:val="false"/>
          <w:sz w:val="20"/>
        </w:rPr>
        <w:t>Approved 10b5-1 Plan</w:t>
      </w:r>
      <w:r>
        <w:rPr>
          <w:rFonts w:ascii="Times New Roman;Times;Serif" w:hAnsi="Times New Roman;Times;Serif"/>
          <w:b w:val="false"/>
          <w:i w:val="false"/>
          <w:caps w:val="false"/>
          <w:smallCaps w:val="false"/>
          <w:sz w:val="20"/>
        </w:rPr>
        <w:t>”) that meet the following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plan; or (y) two business days following disclosure of the Company’s financial results in a Form 20-F or Form 6-K for the semi-annual or annual in which the 10b5-1 plan was adopted. For all other Company Insiders, the cooling-off period ends 30 days after adoption or modification of the 10b5-1 plan. This required cooling-off period will apply to the entry into a new 10b5-1 plan and any revision or modification of a 10b5-1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it is the only outstanding Approved 10b5-1 Plan entered into by the Covered Person (subject to the exceptions set out in Rule 10b5-1(c)(ii)(D)).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Approved 10b5-1 Plan may be adopted during a blackout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considering entering into, modifying or terminating an Approved 10b5-1 Plan or have any questions regarding Approved Rule 10b5-1 Plans, please contact the Compliance Officer.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203"/>
        <w:gridCol w:w="1069"/>
        <w:gridCol w:w="8933"/>
      </w:tblGrid>
      <w:tr>
        <w:trPr/>
        <w:tc>
          <w:tcPr>
            <w:tcW w:w="20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pPr>
            <w:r>
              <w:rPr/>
              <w:t>2.</w:t>
            </w:r>
          </w:p>
        </w:tc>
        <w:tc>
          <w:tcPr>
            <w:tcW w:w="8933" w:type="dxa"/>
            <w:tcBorders/>
            <w:vAlign w:val="center"/>
          </w:tcPr>
          <w:p>
            <w:pPr>
              <w:pStyle w:val="TableContents"/>
              <w:bidi w:val="0"/>
              <w:spacing w:before="0" w:after="283"/>
              <w:jc w:val="both"/>
              <w:rPr>
                <w:u w:val="single"/>
              </w:rPr>
            </w:pPr>
            <w:r>
              <w:rPr>
                <w:u w:val="single"/>
              </w:rPr>
              <w:t>Trading Window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Insiders are permitted to trade in the Company’s securities when no blackout period is in effect. Generally, this means that Company Insiders can trade during the period beginning on the day that blackout period under section 1(a) ends and ending on the day that next blackout period under section 1(a) begins.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94"/>
        <w:gridCol w:w="498"/>
        <w:gridCol w:w="9613"/>
      </w:tblGrid>
      <w:tr>
        <w:trPr/>
        <w:tc>
          <w:tcPr>
            <w:tcW w:w="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3.</w:t>
            </w:r>
          </w:p>
        </w:tc>
        <w:tc>
          <w:tcPr>
            <w:tcW w:w="9613" w:type="dxa"/>
            <w:tcBorders/>
            <w:vAlign w:val="center"/>
          </w:tcPr>
          <w:p>
            <w:pPr>
              <w:pStyle w:val="TableContents"/>
              <w:bidi w:val="0"/>
              <w:spacing w:before="0" w:after="283"/>
              <w:jc w:val="both"/>
              <w:rPr>
                <w:u w:val="single"/>
              </w:rPr>
            </w:pPr>
            <w:r>
              <w:rPr>
                <w:u w:val="single"/>
              </w:rPr>
              <w:t>Pre-Clearance of Securities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Because Company Insiders are likely to obtain material nonpublic information on a regular basis, the Company requires all such persons to refrain from trading, even during a trading window under Part II, Section 2 above, without first pre-clearing all transactions in the Company’s securities. See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for Request for Approval to Trade in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Subject to the exemption in subsection (d) below, 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Compliance Officer shall record the date each request is received and the date and time each request is approved or disapproved. Unless revoked or specifically stated otherwise in the Request for Approval to Trade in the Securities (Annex A) signed by the Compliance Officer, a grant of permission will normally remain valid until the close of trading two business days following the day on which it was granted. If the transaction does not occur during the two-day period, pre-clearance of the transaction must be re-requested.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Company Insider should be instructed to send duplicate confirmations of all such transactions to the Compliance Officer.</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4.</w:t>
            </w:r>
          </w:p>
        </w:tc>
        <w:tc>
          <w:tcPr>
            <w:tcW w:w="9237" w:type="dxa"/>
            <w:tcBorders/>
            <w:vAlign w:val="center"/>
          </w:tcPr>
          <w:p>
            <w:pPr>
              <w:pStyle w:val="TableContents"/>
              <w:bidi w:val="0"/>
              <w:spacing w:before="0" w:after="283"/>
              <w:jc w:val="both"/>
              <w:rPr>
                <w:u w:val="single"/>
              </w:rPr>
            </w:pPr>
            <w:r>
              <w:rPr>
                <w:u w:val="single"/>
              </w:rPr>
              <w:t>Prohibited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Company Insiders,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Short-term trading.</w:t>
      </w:r>
      <w:r>
        <w:rPr>
          <w:rFonts w:ascii="Times New Roman;Times;Serif" w:hAnsi="Times New Roman;Times;Serif"/>
          <w:b w:val="false"/>
          <w:i w:val="false"/>
          <w:caps w:val="false"/>
          <w:smallCaps w:val="false"/>
          <w:sz w:val="20"/>
        </w:rPr>
        <w:t xml:space="preserve"> Company Insiders who purchase Company securities may not sell any Company securities of the same class for at least six months after the 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xml:space="preserve"> Company Insiders may not sell the Company’s securities short;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Options trading.</w:t>
      </w:r>
      <w:r>
        <w:rPr>
          <w:rFonts w:ascii="Times New Roman;Times;Serif" w:hAnsi="Times New Roman;Times;Serif"/>
          <w:b w:val="false"/>
          <w:i w:val="false"/>
          <w:caps w:val="false"/>
          <w:smallCaps w:val="false"/>
          <w:sz w:val="20"/>
        </w:rPr>
        <w:t xml:space="preserve"> Company Insiders may not buy or sell puts or calls or other derivative securities on the Company’s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Trading on margin or pledging.</w:t>
      </w:r>
      <w:r>
        <w:rPr>
          <w:rFonts w:ascii="Times New Roman;Times;Serif" w:hAnsi="Times New Roman;Times;Serif"/>
          <w:b w:val="false"/>
          <w:i w:val="false"/>
          <w:caps w:val="false"/>
          <w:smallCaps w:val="false"/>
          <w:sz w:val="20"/>
        </w:rPr>
        <w:t xml:space="preserve"> Company Insiders may not hold Company securities in a margin account or pledge Company securities as collateral for a loan;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Hedging.</w:t>
      </w:r>
      <w:r>
        <w:rPr>
          <w:rFonts w:ascii="Times New Roman;Times;Serif" w:hAnsi="Times New Roman;Times;Serif"/>
          <w:b w:val="false"/>
          <w:i w:val="false"/>
          <w:caps w:val="false"/>
          <w:smallCaps w:val="false"/>
          <w:sz w:val="20"/>
        </w:rPr>
        <w:t xml:space="preserve"> Company Insiders may not enter into hedging or monetization transactions or similar arrangements with respect to Company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III</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1.</w:t>
            </w:r>
          </w:p>
        </w:tc>
        <w:tc>
          <w:tcPr>
            <w:tcW w:w="9297" w:type="dxa"/>
            <w:tcBorders/>
            <w:vAlign w:val="center"/>
          </w:tcPr>
          <w:p>
            <w:pPr>
              <w:pStyle w:val="TableContents"/>
              <w:bidi w:val="0"/>
              <w:spacing w:before="0" w:after="283"/>
              <w:jc w:val="both"/>
              <w:rPr>
                <w:u w:val="single"/>
              </w:rPr>
            </w:pPr>
            <w:r>
              <w:rPr>
                <w:u w:val="single"/>
              </w:rPr>
              <w:t>Public Resale – Rule 144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Act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unregistered securities acquired in a private offering or sale) and (ii) public resales by directors, officers and other control persons, e.g., 10% holders, of a company (known as “</w:t>
      </w:r>
      <w:r>
        <w:rPr>
          <w:rFonts w:ascii="Times New Roman;Times;Serif" w:hAnsi="Times New Roman;Times;Serif"/>
          <w:b/>
          <w:i w:val="false"/>
          <w:caps w:val="false"/>
          <w:smallCaps w:val="false"/>
          <w:sz w:val="20"/>
        </w:rPr>
        <w:t>Affiliates</w:t>
      </w:r>
      <w:r>
        <w:rPr>
          <w:rFonts w:ascii="Times New Roman;Times;Serif" w:hAnsi="Times New Roman;Times;Serif"/>
          <w:b w:val="false"/>
          <w:i w:val="false"/>
          <w:caps w:val="false"/>
          <w:smallCaps w:val="false"/>
          <w:sz w:val="20"/>
        </w:rPr>
        <w:t>”) of any of the Company’s securities, whether restricted or unrestricted.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exemption under Rule 144 will only be available 12 months after the Company has filed a Form 20-F within four business days from the de-SPAC closing, and may be relied upon only if certain conditions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Holding Period. </w:t>
      </w:r>
      <w:r>
        <w:rPr>
          <w:rFonts w:ascii="Times New Roman;Times;Serif" w:hAnsi="Times New Roman;Times;Serif"/>
          <w:b w:val="false"/>
          <w:i w:val="false"/>
          <w:caps w:val="false"/>
          <w:smallCaps w:val="false"/>
          <w:sz w:val="20"/>
        </w:rPr>
        <w:t>Restricted securities issued by the Company must be held and fully paid for a period of six months prior to their sale.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Current Public Information. </w:t>
      </w:r>
      <w:r>
        <w:rPr>
          <w:rFonts w:ascii="Times New Roman;Times;Serif" w:hAnsi="Times New Roman;Times;Serif"/>
          <w:b w:val="false"/>
          <w:i w:val="false"/>
          <w:caps w:val="false"/>
          <w:smallCaps w:val="false"/>
          <w:sz w:val="20"/>
        </w:rPr>
        <w:t>Current information about the Company must be publicly available before the sale can be made. The Company’s periodic reports filed with the SEC ordinarily satisfies this requirement. If seller is currently an Affiliate or has been an Affiliate within the previous three months, the Affiliate’s sale is subject to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Volume Limitations. </w:t>
      </w:r>
      <w:r>
        <w:rPr>
          <w:rFonts w:ascii="Times New Roman;Times;Serif" w:hAnsi="Times New Roman;Times;Serif"/>
          <w:b w:val="false"/>
          <w:i w:val="false"/>
          <w:caps w:val="false"/>
          <w:smallCaps w:val="false"/>
          <w:sz w:val="20"/>
        </w:rPr>
        <w:t>The amount of equity securities that can be sold by an Affiliate during any three-month period cannot exceed the greater of (i) one percent (1%) of the total number of shares outstanding; and (ii) the average weekly reported trading volume for shares during the four preceding calendar weeks.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Manner of Sale.</w:t>
      </w:r>
      <w:r>
        <w:rPr>
          <w:rFonts w:ascii="Times New Roman;Times;Serif" w:hAnsi="Times New Roman;Times;Serif"/>
          <w:b w:val="false"/>
          <w:i w:val="false"/>
          <w:caps w:val="false"/>
          <w:smallCaps w:val="false"/>
          <w:sz w:val="20"/>
        </w:rPr>
        <w:t xml:space="preserve"> Equity securities held by Affiliates must be sold in unsolicited brokers’ transactions, directly to a market-maker or in riskless principal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Notice of Sale.</w:t>
      </w:r>
      <w:r>
        <w:rPr>
          <w:rFonts w:ascii="Times New Roman;Times;Serif" w:hAnsi="Times New Roman;Times;Serif"/>
          <w:b w:val="false"/>
          <w:i w:val="false"/>
          <w:caps w:val="false"/>
          <w:smallCaps w:val="false"/>
          <w:sz w:val="20"/>
        </w:rPr>
        <w:t xml:space="preserve"> An Affiliate seller must file a notice of the proposed sale with the SEC at the time the order to sell is placed with the broker, unless the amount to be sold during any three-month period neither exceeds 5,000 shares nor involves sale proceeds greater than $50,000. See “Filing Requirements” under Part III, Section 3(b)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gifts are not deemed to involve sales of shares for purposes of Rule 144, so they can be made at any time without limitation on the amount of the gift. Donees who receive restricted securities from an Affiliate generally will be subject to the same restrictions under Rule 144 that would have applied to the donor, depending on the circumstances.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pPr>
            <w:r>
              <w:rPr/>
              <w:t>2.</w:t>
            </w:r>
          </w:p>
        </w:tc>
        <w:tc>
          <w:tcPr>
            <w:tcW w:w="8709" w:type="dxa"/>
            <w:tcBorders/>
            <w:vAlign w:val="center"/>
          </w:tcPr>
          <w:p>
            <w:pPr>
              <w:pStyle w:val="TableContents"/>
              <w:bidi w:val="0"/>
              <w:spacing w:before="0" w:after="283"/>
              <w:jc w:val="both"/>
              <w:rPr>
                <w:u w:val="single"/>
              </w:rPr>
            </w:pPr>
            <w:r>
              <w:rPr>
                <w:u w:val="single"/>
              </w:rPr>
              <w:t>Private Resale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 months before the securities will be eligible for resale to the public under Rule 144 (which will only be available 12 months after the Company has filed a Form 20-F within four business days from the de-SPAC closing). Private resales raise certain documentation and other issues and must be reviewed in advance by the Company’s U.S. legal counsel at Loeb &amp; Loeb LLP.</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176"/>
        <w:gridCol w:w="931"/>
        <w:gridCol w:w="9098"/>
      </w:tblGrid>
      <w:tr>
        <w:trPr/>
        <w:tc>
          <w:tcPr>
            <w:tcW w:w="1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3.</w:t>
            </w:r>
          </w:p>
        </w:tc>
        <w:tc>
          <w:tcPr>
            <w:tcW w:w="9098" w:type="dxa"/>
            <w:tcBorders/>
            <w:vAlign w:val="center"/>
          </w:tcPr>
          <w:p>
            <w:pPr>
              <w:pStyle w:val="TableContents"/>
              <w:bidi w:val="0"/>
              <w:spacing w:before="0" w:after="283"/>
              <w:jc w:val="both"/>
              <w:rPr>
                <w:u w:val="single"/>
              </w:rPr>
            </w:pPr>
            <w:r>
              <w:rPr>
                <w:u w:val="single"/>
              </w:rPr>
              <w:t>Filing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Schedule 13D and 13G - </w:t>
      </w:r>
      <w:r>
        <w:rPr>
          <w:rFonts w:ascii="Times New Roman;Times;Serif" w:hAnsi="Times New Roman;Times;Serif"/>
          <w:b w:val="false"/>
          <w:i w:val="false"/>
          <w:caps w:val="false"/>
          <w:smallCaps w:val="false"/>
          <w:sz w:val="20"/>
        </w:rPr>
        <w:t>Section 13(d) of the Exchange Act requires the filing of a statement on Schedule 13D (or on Schedule 13G, in certain limited circumstances) by any person or group which acquires beneficial ownership of more than five percent (5%) of a class of equity securities registered under the Exchange Act. The threshold for reporting is met if the shares owned, when coupled with the amount of shares subject to options exercisable within 60 days, exceeds the five percent (5%)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report on Schedule 13D is required to be filed with the SEC and submitted to the Company within five (5) business days after the reporting threshold is reached. If a material change occurs in the facts set forth in the Schedule 13D, such as an increase or decrease of one percent (1%) or more in the percentage of stock beneficially owned, an amendment disclosing the change must be filed within two (2) business days. A decrease in beneficial ownership to less than five percent (5%) is per se material and must be reported.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quarter in which the reporting threshold is 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 is also available to passive investors (over 5%) that acquired shares “not with the purpose nor with the effect of changing or influencing the control of the issuer,” so long as their ownership remains below 20%. A passive investor shall file the initial Schedule 13G within five (5) business days of crossing the threshold for passive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deemed the beneficial owner of securities for purposes of Section 13(d) if such person has or shares voting power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power to vote or direct the voting of the securities) or dispositive power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power to sell or direct the sale of the securities). A person filing a Schedule 13D or 13G may disclaim beneficial ownership of any securities attributed to him or her if he or she believes there is a reasonable basis for doing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Form 144</w:t>
      </w:r>
      <w:r>
        <w:rPr>
          <w:rFonts w:ascii="Times New Roman;Times;Serif" w:hAnsi="Times New Roman;Times;Serif"/>
          <w:b w:val="false"/>
          <w:i w:val="false"/>
          <w:caps w:val="false"/>
          <w:smallCaps w:val="false"/>
          <w:sz w:val="20"/>
        </w:rPr>
        <w:t xml:space="preserve"> – As described in Part II, Section 1(e) above,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IV</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73"/>
        <w:gridCol w:w="387"/>
        <w:gridCol w:w="9745"/>
      </w:tblGrid>
      <w:tr>
        <w:trPr/>
        <w:tc>
          <w:tcPr>
            <w:tcW w:w="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1.</w:t>
            </w:r>
          </w:p>
        </w:tc>
        <w:tc>
          <w:tcPr>
            <w:tcW w:w="9745" w:type="dxa"/>
            <w:tcBorders/>
            <w:vAlign w:val="center"/>
          </w:tcPr>
          <w:p>
            <w:pPr>
              <w:pStyle w:val="TableContents"/>
              <w:bidi w:val="0"/>
              <w:spacing w:before="0" w:after="283"/>
              <w:jc w:val="both"/>
              <w:rPr>
                <w:u w:val="single"/>
              </w:rPr>
            </w:pPr>
            <w:r>
              <w:rPr>
                <w:u w:val="single"/>
              </w:rPr>
              <w:t>Holding Foreign Insiders Accountable Act (HFIAA)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Insiders Accountable Act (HFIAA), beginning March 18, 2026, Company Insiders will be required to file with the SEC Section 16 reports (see Section 3 below) to publicly report their ownership of, and trades in, the Company’s shares (including equity compensation awards, stock grants, options, warrants, etc.).</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2.</w:t>
            </w:r>
          </w:p>
        </w:tc>
        <w:tc>
          <w:tcPr>
            <w:tcW w:w="8912" w:type="dxa"/>
            <w:tcBorders/>
            <w:vAlign w:val="center"/>
          </w:tcPr>
          <w:p>
            <w:pPr>
              <w:pStyle w:val="TableContents"/>
              <w:bidi w:val="0"/>
              <w:spacing w:before="0" w:after="283"/>
              <w:jc w:val="both"/>
              <w:rPr>
                <w:u w:val="single"/>
              </w:rPr>
            </w:pPr>
            <w:r>
              <w:rPr>
                <w:u w:val="single"/>
              </w:rPr>
              <w:t>Covered Persons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Insiders under the HFIAA include officers of the Company: (i) the president; (ii) the principal financial officer; (iii) the principal accounting officer; (iv) any vice-president of the issuer in charge of a principal business unit, division or function; and (v) other policymaking individuals, regardless of title. Officers of the issuer’s parent(s) or subsidiaries are deemed officers of the issuer if they perform such policymaking functions for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identified in an issuer’s annual report on Form 20-F are presumed to be officers for purposes of Section 16(a) reporting. Although the HFIAA does not extend Section 16(a) reporting obligations to a significant shareholder solely based on share ownership, a shareholder can be subject to Section 16(a) reporting if its affiliate serves as an officer or director of the Company.</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00" w:type="pct"/>
        <w:jc w:val="left"/>
        <w:tblInd w:w="0" w:type="dxa"/>
        <w:tblLayout w:type="fixed"/>
        <w:tblCellMar>
          <w:top w:w="0" w:type="dxa"/>
          <w:left w:w="0" w:type="dxa"/>
          <w:bottom w:w="0" w:type="dxa"/>
          <w:right w:w="0" w:type="dxa"/>
        </w:tblCellMar>
      </w:tblPr>
      <w:tblGrid>
        <w:gridCol w:w="176"/>
        <w:gridCol w:w="931"/>
        <w:gridCol w:w="9098"/>
      </w:tblGrid>
      <w:tr>
        <w:trPr/>
        <w:tc>
          <w:tcPr>
            <w:tcW w:w="1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3.</w:t>
            </w:r>
          </w:p>
        </w:tc>
        <w:tc>
          <w:tcPr>
            <w:tcW w:w="9098" w:type="dxa"/>
            <w:tcBorders/>
            <w:vAlign w:val="center"/>
          </w:tcPr>
          <w:p>
            <w:pPr>
              <w:pStyle w:val="TableContents"/>
              <w:bidi w:val="0"/>
              <w:spacing w:before="0" w:after="283"/>
              <w:jc w:val="both"/>
              <w:rPr>
                <w:u w:val="single"/>
              </w:rPr>
            </w:pPr>
            <w:r>
              <w:rPr>
                <w:u w:val="single"/>
              </w:rPr>
              <w:t>Filing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3 — an initial statement of beneficial ownership due within 10 calendar days after becoming an insider;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 — a report of changes in beneficial ownership due by the end of the second business day following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5 — an end-of-year filing due 45 calendar days after the issuer’s fiscal year-end that covers holdings or transactions not previously reported.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 for Approval to Trade in the Securities of GCL GLOBAL HOLDINGS LTD.</w:t>
      </w:r>
    </w:p>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65"/>
        <w:gridCol w:w="3995"/>
      </w:tblGrid>
      <w:tr>
        <w:trPr/>
        <w:tc>
          <w:tcPr>
            <w:tcW w:w="365" w:type="dxa"/>
            <w:tcBorders/>
            <w:vAlign w:val="center"/>
          </w:tcPr>
          <w:p>
            <w:pPr>
              <w:pStyle w:val="TableContents"/>
              <w:bidi w:val="0"/>
              <w:spacing w:before="0" w:after="283"/>
              <w:jc w:val="left"/>
              <w:rPr/>
            </w:pPr>
            <w:r>
              <w:rPr/>
              <w:t>To:</w:t>
            </w:r>
          </w:p>
        </w:tc>
        <w:tc>
          <w:tcPr>
            <w:tcW w:w="3995" w:type="dxa"/>
            <w:tcBorders/>
            <w:vAlign w:val="center"/>
          </w:tcPr>
          <w:p>
            <w:pPr>
              <w:pStyle w:val="TableContents"/>
              <w:bidi w:val="0"/>
              <w:spacing w:before="0" w:after="283"/>
              <w:jc w:val="left"/>
              <w:rPr/>
            </w:pPr>
            <w:r>
              <w:rPr/>
              <w:t>Chief Financial Officer / General Counsel</w:t>
            </w:r>
          </w:p>
        </w:tc>
      </w:tr>
    </w:tbl>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5"/>
        <w:gridCol w:w="1100"/>
        <w:gridCol w:w="75"/>
      </w:tblGrid>
      <w:tr>
        <w:trPr/>
        <w:tc>
          <w:tcPr>
            <w:tcW w:w="605" w:type="dxa"/>
            <w:tcBorders/>
            <w:vAlign w:val="center"/>
          </w:tcPr>
          <w:p>
            <w:pPr>
              <w:pStyle w:val="TableContents"/>
              <w:bidi w:val="0"/>
              <w:spacing w:before="0" w:after="283"/>
              <w:jc w:val="left"/>
              <w:rPr/>
            </w:pPr>
            <w:r>
              <w:rPr/>
              <w:t>From:</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Print Name</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request approval for myself (or a member of my immediate family or household or a family member whose transactions regarding securities of GCL GLOBAL HOLDINGS LTD. are directed by me or are subject to my influence or control) to execute the following transaction relating to the securities of GCL GLOBAL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transaction (check one):</w:t>
      </w:r>
    </w:p>
    <w:p>
      <w:pPr>
        <w:pStyle w:val="TextBody"/>
        <w:bidi w:val="0"/>
        <w:spacing w:before="0" w:after="0"/>
        <w:ind w:left="72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230"/>
        <w:gridCol w:w="45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pPr>
            <w:r>
              <w:rPr/>
              <w:t>PURCHASE</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pPr>
            <w:r>
              <w:rPr/>
              <w:t>SALE</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pPr>
            <w:r>
              <w:rPr/>
              <w:t>EXERCISE OPTION (AND SELL SHARES)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pPr>
            <w:r>
              <w:rPr/>
              <w:t>OTHER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involved in transaction:</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securities:</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(please explain):</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beneficial owner if other than yourself:</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 of beneficial owner to yourself:</w:t>
      </w:r>
      <w:r>
        <w:rPr>
          <w:rFonts w:ascii="Times New Roman;Times;Serif" w:hAnsi="Times New Roman;Times;Serif"/>
          <w:b w:val="false"/>
          <w:i w:val="false"/>
          <w:caps w:val="false"/>
          <w:smallCaps w:val="false"/>
          <w:sz w:val="20"/>
          <w:u w:val="single"/>
        </w:rPr>
        <w:t>                                                                                                                        </w:t>
      </w:r>
    </w:p>
    <w:p>
      <w:pPr>
        <w:pStyle w:val="TextBody"/>
        <w:bidi w:val="0"/>
        <w:spacing w:before="0" w:after="0"/>
        <w:ind w:left="4320" w:right="0" w:hanging="432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995"/>
        <w:gridCol w:w="23"/>
        <w:gridCol w:w="530"/>
        <w:gridCol w:w="75"/>
      </w:tblGrid>
      <w:tr>
        <w:trPr/>
        <w:tc>
          <w:tcPr>
            <w:tcW w:w="995" w:type="dxa"/>
            <w:tcBorders/>
            <w:vAlign w:val="center"/>
          </w:tcPr>
          <w:p>
            <w:pPr>
              <w:pStyle w:val="TableContents"/>
              <w:bidi w:val="0"/>
              <w:spacing w:before="0" w:after="283"/>
              <w:jc w:val="left"/>
              <w:rPr/>
            </w:pPr>
            <w:r>
              <w:rPr/>
              <w:t>Signature:</w:t>
            </w:r>
          </w:p>
        </w:tc>
        <w:tc>
          <w:tcPr>
            <w:tcW w:w="2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Date: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Authorization is valid until ____________, 20__ (a date not less than two (2) or more than five (5) business days from the date of this Approval) or until the commencement of a “blackout”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Approved by: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Time: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 AND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pStyle w:val="TextBody"/>
        <w:bidi w:val="0"/>
        <w:spacing w:before="0" w:after="0"/>
        <w:ind w:left="4320" w:right="0" w:hanging="0"/>
        <w:jc w:val="left"/>
        <w:rPr>
          <w:caps w:val="false"/>
          <w:smallCaps w:val="false"/>
        </w:rPr>
      </w:pPr>
      <w:r>
        <w:rPr>
          <w:caps w:val="false"/>
          <w:smallCaps w:val="false"/>
        </w:rPr>
        <w:t> </w:t>
      </w:r>
    </w:p>
    <w:tbl>
      <w:tblPr>
        <w:tblW w:w="1924" w:type="dxa"/>
        <w:jc w:val="left"/>
        <w:tblInd w:w="0" w:type="dxa"/>
        <w:tblLayout w:type="fixed"/>
        <w:tblCellMar>
          <w:top w:w="0" w:type="dxa"/>
          <w:left w:w="0" w:type="dxa"/>
          <w:bottom w:w="0" w:type="dxa"/>
          <w:right w:w="0" w:type="dxa"/>
        </w:tblCellMar>
      </w:tblPr>
      <w:tblGrid>
        <w:gridCol w:w="75"/>
        <w:gridCol w:w="561"/>
        <w:gridCol w:w="1288"/>
      </w:tblGrid>
      <w:tr>
        <w:trPr/>
        <w:tc>
          <w:tcPr>
            <w:tcW w:w="75" w:type="dxa"/>
            <w:tcBorders/>
            <w:vAlign w:val="center"/>
          </w:tcPr>
          <w:p>
            <w:pPr>
              <w:pStyle w:val="TableContents"/>
              <w:bidi w:val="0"/>
              <w:spacing w:before="0" w:after="283"/>
              <w:jc w:val="left"/>
              <w:rPr/>
            </w:pPr>
            <w:r>
              <w:rPr/>
              <w:t> </w:t>
            </w:r>
          </w:p>
        </w:tc>
        <w:tc>
          <w:tcPr>
            <w:tcW w:w="184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pPr>
            <w:r>
              <w:rPr/>
              <w:t>(Signature)</w:t>
            </w:r>
          </w:p>
        </w:tc>
      </w:tr>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pPr>
            <w:r>
              <w:rPr/>
              <w:t>(Please print name)</w:t>
            </w:r>
          </w:p>
        </w:tc>
      </w:tr>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Date:</w:t>
            </w:r>
          </w:p>
        </w:tc>
        <w:tc>
          <w:tcPr>
            <w:tcW w:w="1288"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283"/>
        <w:jc w:val="left"/>
        <w:rPr/>
      </w:pPr>
      <w:r>
        <w:rPr/>
        <w:t> </w:t>
      </w:r>
    </w:p>
    <w:p>
      <w:pPr>
        <w:pStyle w:val="TextBody"/>
        <w:bidi w:val="0"/>
        <w:jc w:val="right"/>
        <w:rPr>
          <w:b/>
        </w:rPr>
      </w:pPr>
      <w:bookmarkStart w:id="50" w:name="ea029761301ex12-1.htm"/>
      <w:bookmarkStart w:id="51" w:name="ksea029761301ex121"/>
      <w:bookmarkEnd w:id="50"/>
      <w:bookmarkEnd w:id="51"/>
      <w:r>
        <w:rPr>
          <w:b/>
        </w:rPr>
        <w:t>Exhibit 12.1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Group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Sebastian Toke, certify that:</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85"/>
        <w:gridCol w:w="7790"/>
      </w:tblGrid>
      <w:tr>
        <w:trPr/>
        <w:tc>
          <w:tcPr>
            <w:tcW w:w="185" w:type="dxa"/>
            <w:tcBorders/>
            <w:vAlign w:val="center"/>
          </w:tcPr>
          <w:p>
            <w:pPr>
              <w:pStyle w:val="TableContents"/>
              <w:bidi w:val="0"/>
              <w:spacing w:before="0" w:after="283"/>
              <w:jc w:val="left"/>
              <w:rPr>
                <w:sz w:val="20"/>
              </w:rPr>
            </w:pPr>
            <w:r>
              <w:rPr>
                <w:sz w:val="20"/>
              </w:rPr>
              <w:t>1.</w:t>
            </w:r>
          </w:p>
        </w:tc>
        <w:tc>
          <w:tcPr>
            <w:tcW w:w="7790" w:type="dxa"/>
            <w:tcBorders/>
            <w:vAlign w:val="center"/>
          </w:tcPr>
          <w:p>
            <w:pPr>
              <w:pStyle w:val="TableContents"/>
              <w:bidi w:val="0"/>
              <w:spacing w:before="0" w:after="283"/>
              <w:jc w:val="left"/>
              <w:rPr>
                <w:sz w:val="20"/>
              </w:rPr>
            </w:pPr>
            <w:r>
              <w:rPr>
                <w:sz w:val="20"/>
              </w:rPr>
              <w:t>I have reviewed this annual report on Form 20-F of GCL Global Holdings Ltd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sz w:val="20"/>
              </w:rPr>
            </w:pPr>
            <w:r>
              <w:rPr>
                <w:sz w:val="20"/>
              </w:rPr>
              <w:t>4.</w:t>
            </w:r>
          </w:p>
        </w:tc>
        <w:tc>
          <w:tcPr>
            <w:tcW w:w="10041"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5"/>
        <w:gridCol w:w="354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3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31,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35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Sebastian Toke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3545" w:type="dxa"/>
            <w:tcBorders/>
            <w:vAlign w:val="center"/>
          </w:tcPr>
          <w:p>
            <w:pPr>
              <w:pStyle w:val="TableContents"/>
              <w:bidi w:val="0"/>
              <w:spacing w:before="0" w:after="283"/>
              <w:jc w:val="left"/>
              <w:rPr>
                <w:sz w:val="20"/>
              </w:rPr>
            </w:pPr>
            <w:r>
              <w:rPr>
                <w:sz w:val="20"/>
              </w:rPr>
              <w:t>Sebastian Toke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3545" w:type="dxa"/>
            <w:tcBorders/>
            <w:vAlign w:val="center"/>
          </w:tcPr>
          <w:p>
            <w:pPr>
              <w:pStyle w:val="TableContents"/>
              <w:bidi w:val="0"/>
              <w:spacing w:before="0" w:after="283"/>
              <w:jc w:val="left"/>
              <w:rPr>
                <w:sz w:val="20"/>
              </w:rPr>
            </w:pPr>
            <w:r>
              <w:rPr>
                <w:sz w:val="20"/>
              </w:rPr>
              <w:t>Group 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9761301ex12-2.htm"/>
      <w:bookmarkStart w:id="53" w:name="ksea029761301ex122"/>
      <w:bookmarkEnd w:id="52"/>
      <w:bookmarkEnd w:id="53"/>
      <w:r>
        <w:rPr>
          <w:rFonts w:ascii="Times New Roman;Times;Serif" w:hAnsi="Times New Roman;Times;Serif"/>
          <w:b/>
          <w:i w:val="false"/>
          <w:caps w:val="false"/>
          <w:smallCaps w:val="false"/>
          <w:sz w:val="20"/>
        </w:rPr>
        <w:t>Exhibit 12.2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Group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Kenny Lin, certify that:</w:t>
      </w:r>
    </w:p>
    <w:p>
      <w:pPr>
        <w:pStyle w:val="TextBody"/>
        <w:bidi w:val="0"/>
        <w:spacing w:before="0" w:after="0"/>
        <w:ind w:left="36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85"/>
        <w:gridCol w:w="7790"/>
      </w:tblGrid>
      <w:tr>
        <w:trPr/>
        <w:tc>
          <w:tcPr>
            <w:tcW w:w="185" w:type="dxa"/>
            <w:tcBorders/>
            <w:vAlign w:val="center"/>
          </w:tcPr>
          <w:p>
            <w:pPr>
              <w:pStyle w:val="TableContents"/>
              <w:bidi w:val="0"/>
              <w:spacing w:before="0" w:after="283"/>
              <w:jc w:val="left"/>
              <w:rPr>
                <w:sz w:val="20"/>
              </w:rPr>
            </w:pPr>
            <w:r>
              <w:rPr>
                <w:sz w:val="20"/>
              </w:rPr>
              <w:t>1.</w:t>
            </w:r>
          </w:p>
        </w:tc>
        <w:tc>
          <w:tcPr>
            <w:tcW w:w="7790" w:type="dxa"/>
            <w:tcBorders/>
            <w:vAlign w:val="center"/>
          </w:tcPr>
          <w:p>
            <w:pPr>
              <w:pStyle w:val="TableContents"/>
              <w:bidi w:val="0"/>
              <w:spacing w:before="0" w:after="283"/>
              <w:jc w:val="both"/>
              <w:rPr>
                <w:sz w:val="20"/>
              </w:rPr>
            </w:pPr>
            <w:r>
              <w:rPr>
                <w:sz w:val="20"/>
              </w:rPr>
              <w:t>I have reviewed this annual report on Form 20-F of GCL Global Holdings Ltd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sz w:val="20"/>
              </w:rPr>
            </w:pPr>
            <w:r>
              <w:rPr>
                <w:sz w:val="20"/>
              </w:rPr>
              <w:t>4.</w:t>
            </w:r>
          </w:p>
        </w:tc>
        <w:tc>
          <w:tcPr>
            <w:tcW w:w="10041"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5"/>
        <w:gridCol w:w="2435"/>
        <w:gridCol w:w="75"/>
      </w:tblGrid>
      <w:tr>
        <w:trPr/>
        <w:tc>
          <w:tcPr>
            <w:tcW w:w="605" w:type="dxa"/>
            <w:tcBorders/>
            <w:vAlign w:val="center"/>
          </w:tcPr>
          <w:p>
            <w:pPr>
              <w:pStyle w:val="TableContents"/>
              <w:bidi w:val="0"/>
              <w:spacing w:before="0" w:after="283"/>
              <w:jc w:val="left"/>
              <w:rPr>
                <w:sz w:val="20"/>
              </w:rPr>
            </w:pPr>
            <w:r>
              <w:rPr>
                <w:sz w:val="20"/>
              </w:rPr>
              <w:t>Date:</w:t>
            </w:r>
          </w:p>
        </w:tc>
        <w:tc>
          <w:tcPr>
            <w:tcW w:w="2435" w:type="dxa"/>
            <w:tcBorders/>
            <w:vAlign w:val="center"/>
          </w:tcPr>
          <w:p>
            <w:pPr>
              <w:pStyle w:val="TableContents"/>
              <w:bidi w:val="0"/>
              <w:spacing w:before="0" w:after="283"/>
              <w:jc w:val="left"/>
              <w:rPr>
                <w:sz w:val="20"/>
              </w:rPr>
            </w:pPr>
            <w:r>
              <w:rPr>
                <w:sz w:val="20"/>
              </w:rPr>
              <w:t>July 31,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24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Kenny Lin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435" w:type="dxa"/>
            <w:tcBorders/>
            <w:vAlign w:val="center"/>
          </w:tcPr>
          <w:p>
            <w:pPr>
              <w:pStyle w:val="TableContents"/>
              <w:bidi w:val="0"/>
              <w:spacing w:before="0" w:after="283"/>
              <w:jc w:val="left"/>
              <w:rPr>
                <w:sz w:val="20"/>
              </w:rPr>
            </w:pPr>
            <w:r>
              <w:rPr>
                <w:sz w:val="20"/>
              </w:rPr>
              <w:t>Kenny Lin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435" w:type="dxa"/>
            <w:tcBorders/>
            <w:vAlign w:val="center"/>
          </w:tcPr>
          <w:p>
            <w:pPr>
              <w:pStyle w:val="TableContents"/>
              <w:bidi w:val="0"/>
              <w:spacing w:before="0" w:after="283"/>
              <w:jc w:val="left"/>
              <w:rPr>
                <w:sz w:val="20"/>
              </w:rPr>
            </w:pPr>
            <w:r>
              <w:rPr>
                <w:sz w:val="20"/>
              </w:rPr>
              <w:t>Group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29761301ex13-1.htm"/>
      <w:bookmarkStart w:id="55" w:name="ksea029761301ex131"/>
      <w:bookmarkEnd w:id="54"/>
      <w:bookmarkEnd w:id="55"/>
      <w:r>
        <w:rPr>
          <w:rFonts w:ascii="Times New Roman;Times;Serif" w:hAnsi="Times New Roman;Times;Serif"/>
          <w:b/>
          <w:i w:val="false"/>
          <w:caps w:val="false"/>
          <w:smallCaps w:val="false"/>
          <w:sz w:val="20"/>
        </w:rPr>
        <w:t>Exhibit 13.1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Group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GCL Global Holdings Ltd (the “Company”) on Form 20-F for the year ended March 31, 2026 as filed with the Securities and Exchange Commission on the date hereof (the “Report”), I, Sebastian Toke, Group Chief Executive Officer and Director of the Company, certify, pursuant to 18 U.S.C. Section 1350, as adopted pursuant to Section 906 of the Sarbanes-Oxley Act of 2002, that to my knowledge:</w:t>
      </w:r>
    </w:p>
    <w:p>
      <w:pPr>
        <w:pStyle w:val="TextBody"/>
        <w:bidi w:val="0"/>
        <w:spacing w:before="0" w:after="0"/>
        <w:ind w:left="0" w:right="0" w:firstLine="72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5"/>
        <w:gridCol w:w="3545"/>
        <w:gridCol w:w="75"/>
      </w:tblGrid>
      <w:tr>
        <w:trPr/>
        <w:tc>
          <w:tcPr>
            <w:tcW w:w="605" w:type="dxa"/>
            <w:tcBorders/>
            <w:vAlign w:val="center"/>
          </w:tcPr>
          <w:p>
            <w:pPr>
              <w:pStyle w:val="TableContents"/>
              <w:bidi w:val="0"/>
              <w:spacing w:before="0" w:after="283"/>
              <w:jc w:val="left"/>
              <w:rPr>
                <w:sz w:val="20"/>
              </w:rPr>
            </w:pPr>
            <w:r>
              <w:rPr>
                <w:sz w:val="20"/>
              </w:rPr>
              <w:t>Date:</w:t>
            </w:r>
          </w:p>
        </w:tc>
        <w:tc>
          <w:tcPr>
            <w:tcW w:w="3545" w:type="dxa"/>
            <w:tcBorders/>
            <w:vAlign w:val="center"/>
          </w:tcPr>
          <w:p>
            <w:pPr>
              <w:pStyle w:val="TableContents"/>
              <w:bidi w:val="0"/>
              <w:spacing w:before="0" w:after="283"/>
              <w:jc w:val="left"/>
              <w:rPr>
                <w:sz w:val="20"/>
              </w:rPr>
            </w:pPr>
            <w:r>
              <w:rPr>
                <w:sz w:val="20"/>
              </w:rPr>
              <w:t>July 31,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35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Sebastian Toke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3545" w:type="dxa"/>
            <w:tcBorders/>
            <w:vAlign w:val="center"/>
          </w:tcPr>
          <w:p>
            <w:pPr>
              <w:pStyle w:val="TableContents"/>
              <w:bidi w:val="0"/>
              <w:spacing w:before="0" w:after="283"/>
              <w:jc w:val="left"/>
              <w:rPr>
                <w:sz w:val="20"/>
              </w:rPr>
            </w:pPr>
            <w:r>
              <w:rPr>
                <w:sz w:val="20"/>
              </w:rPr>
              <w:t>Sebastian Toke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3545" w:type="dxa"/>
            <w:tcBorders/>
            <w:vAlign w:val="center"/>
          </w:tcPr>
          <w:p>
            <w:pPr>
              <w:pStyle w:val="TableContents"/>
              <w:bidi w:val="0"/>
              <w:spacing w:before="0" w:after="283"/>
              <w:jc w:val="left"/>
              <w:rPr>
                <w:sz w:val="20"/>
              </w:rPr>
            </w:pPr>
            <w:r>
              <w:rPr>
                <w:sz w:val="20"/>
              </w:rPr>
              <w:t>Group 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9761301ex13-2.htm"/>
      <w:bookmarkStart w:id="57" w:name="ksea029761301ex132"/>
      <w:bookmarkEnd w:id="56"/>
      <w:bookmarkEnd w:id="57"/>
      <w:r>
        <w:rPr>
          <w:rFonts w:ascii="Times New Roman;Times;Serif" w:hAnsi="Times New Roman;Times;Serif"/>
          <w:b/>
          <w:i w:val="false"/>
          <w:caps w:val="false"/>
          <w:smallCaps w:val="false"/>
          <w:sz w:val="20"/>
        </w:rPr>
        <w:t>Exhibit 13.2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Group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GCL Global Holdings Ltd (the “Company”) on Form 20-F for the year ended March 31, 2026 as filed with the Securities and Exchange Commission on the date hereof (the “Report”), I, Kenny Lin, Group Chief Financial Officer of the Company, certify, pursuant to 18 U.S.C. Section 1350, as adopted pursuant to Section 906 of the Sarbanes-Oxley Act of 2002, that to my knowledge:</w:t>
      </w:r>
    </w:p>
    <w:p>
      <w:pPr>
        <w:pStyle w:val="TextBody"/>
        <w:bidi w:val="0"/>
        <w:spacing w:before="0" w:after="0"/>
        <w:ind w:left="0" w:right="0" w:firstLine="72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5"/>
        <w:gridCol w:w="248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31,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248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Kenny Lin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480" w:type="dxa"/>
            <w:tcBorders/>
            <w:vAlign w:val="center"/>
          </w:tcPr>
          <w:p>
            <w:pPr>
              <w:pStyle w:val="TableContents"/>
              <w:bidi w:val="0"/>
              <w:spacing w:before="0" w:after="283"/>
              <w:jc w:val="left"/>
              <w:rPr>
                <w:sz w:val="20"/>
              </w:rPr>
            </w:pPr>
            <w:r>
              <w:rPr>
                <w:sz w:val="20"/>
              </w:rPr>
              <w:t>Kenny Lin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480" w:type="dxa"/>
            <w:tcBorders/>
            <w:vAlign w:val="center"/>
          </w:tcPr>
          <w:p>
            <w:pPr>
              <w:pStyle w:val="TableContents"/>
              <w:bidi w:val="0"/>
              <w:spacing w:before="0" w:after="283"/>
              <w:jc w:val="left"/>
              <w:rPr>
                <w:sz w:val="20"/>
              </w:rPr>
            </w:pPr>
            <w:r>
              <w:rPr>
                <w:sz w:val="20"/>
              </w:rPr>
              <w:t xml:space="preserve">Group Chief Financial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8" w:name="ea029761301ex15-1.htm"/>
      <w:bookmarkStart w:id="59" w:name="ksea029761301ex151"/>
      <w:bookmarkEnd w:id="58"/>
      <w:bookmarkEnd w:id="59"/>
      <w:r>
        <w:rPr>
          <w:b/>
        </w:rPr>
        <w:t>Exhibit 15.1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200275"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1"/>
                    <a:stretch>
                      <a:fillRect/>
                    </a:stretch>
                  </pic:blipFill>
                  <pic:spPr bwMode="auto">
                    <a:xfrm>
                      <a:off x="0" y="0"/>
                      <a:ext cx="2200275"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Post-Effective Form F-1 on Form F-3 (File No. 333-286361 and 333-290032) and Form S-8 (File No. 333-286902) of our report dated July 31, 2025 relating to the consolidated financial statements appearing in the Annual Report on Form 20-F of GCL Global Holdings Ltd. for the year ended March 31, 2026. We also consent to the reference to us under the heading “Experts” in such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0" w:name="ea029761301ex15-2.htm"/>
      <w:bookmarkStart w:id="61" w:name="ksea029761301ex152"/>
      <w:bookmarkEnd w:id="60"/>
      <w:bookmarkEnd w:id="61"/>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Registration Statement (Form S-8 No. 333-286902)</w:t>
            </w:r>
          </w:p>
        </w:tc>
      </w:tr>
    </w:tbl>
    <w:p>
      <w:pPr>
        <w:pStyle w:val="TextBody"/>
        <w:bidi w:val="0"/>
        <w:spacing w:before="0" w:after="283"/>
        <w:jc w:val="left"/>
        <w:rPr/>
      </w:pPr>
      <w:r>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Registration Statement (No. 333-290032)</w:t>
            </w:r>
          </w:p>
        </w:tc>
      </w:tr>
    </w:tbl>
    <w:p>
      <w:pPr>
        <w:pStyle w:val="TextBody"/>
        <w:bidi w:val="0"/>
        <w:spacing w:before="0" w:after="283"/>
        <w:jc w:val="left"/>
        <w:rPr/>
      </w:pPr>
      <w:r>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Registration Statement (No. 333-286361)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report dated July 31, 2026, with respect to the consolidated financial statements of GCL Global Holdings Ltd. included in this Annual Report (Form 20-F) of GCL Global Holdings Ltd. for the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ind w:left="0" w:right="0" w:hanging="0"/>
        <w:jc w:val="right"/>
        <w:rPr>
          <w:b/>
        </w:rPr>
      </w:pPr>
      <w:bookmarkStart w:id="62" w:name="ea029761301ex21.htm"/>
      <w:bookmarkStart w:id="63" w:name="ksea029761301ex211"/>
      <w:bookmarkEnd w:id="62"/>
      <w:bookmarkEnd w:id="63"/>
      <w:r>
        <w:rPr>
          <w:b/>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4520"/>
      </w:tblGrid>
      <w:tr>
        <w:trPr/>
        <w:tc>
          <w:tcPr>
            <w:tcW w:w="4520" w:type="dxa"/>
            <w:tcBorders/>
            <w:shd w:fill="CCEEFF" w:val="clear"/>
            <w:vAlign w:val="center"/>
          </w:tcPr>
          <w:p>
            <w:pPr>
              <w:pStyle w:val="TableContents"/>
              <w:bidi w:val="0"/>
              <w:spacing w:before="0" w:after="283"/>
              <w:jc w:val="left"/>
              <w:rPr>
                <w:sz w:val="20"/>
              </w:rPr>
            </w:pPr>
            <w:r>
              <w:rPr>
                <w:sz w:val="20"/>
              </w:rPr>
              <w:t>GCL Global Limited</w:t>
            </w:r>
          </w:p>
        </w:tc>
      </w:tr>
      <w:tr>
        <w:trPr/>
        <w:tc>
          <w:tcPr>
            <w:tcW w:w="4520" w:type="dxa"/>
            <w:tcBorders/>
            <w:shd w:fill="FFFFFF" w:val="clear"/>
            <w:vAlign w:val="center"/>
          </w:tcPr>
          <w:p>
            <w:pPr>
              <w:pStyle w:val="TableContents"/>
              <w:bidi w:val="0"/>
              <w:spacing w:before="0" w:after="283"/>
              <w:jc w:val="left"/>
              <w:rPr>
                <w:sz w:val="20"/>
              </w:rPr>
            </w:pPr>
            <w:r>
              <w:rPr>
                <w:sz w:val="20"/>
              </w:rPr>
              <w:t xml:space="preserve">RF Acquisition Corp. </w:t>
            </w:r>
          </w:p>
        </w:tc>
      </w:tr>
      <w:tr>
        <w:trPr/>
        <w:tc>
          <w:tcPr>
            <w:tcW w:w="4520" w:type="dxa"/>
            <w:tcBorders/>
            <w:shd w:fill="CCEEFF" w:val="clear"/>
            <w:vAlign w:val="center"/>
          </w:tcPr>
          <w:p>
            <w:pPr>
              <w:pStyle w:val="TableContents"/>
              <w:bidi w:val="0"/>
              <w:spacing w:before="0" w:after="283"/>
              <w:jc w:val="left"/>
              <w:rPr>
                <w:sz w:val="20"/>
              </w:rPr>
            </w:pPr>
            <w:r>
              <w:rPr>
                <w:sz w:val="20"/>
              </w:rPr>
              <w:t>Grand Centrex Limited</w:t>
            </w:r>
          </w:p>
        </w:tc>
      </w:tr>
      <w:tr>
        <w:trPr/>
        <w:tc>
          <w:tcPr>
            <w:tcW w:w="4520" w:type="dxa"/>
            <w:tcBorders/>
            <w:shd w:fill="FFFFFF" w:val="clear"/>
            <w:vAlign w:val="center"/>
          </w:tcPr>
          <w:p>
            <w:pPr>
              <w:pStyle w:val="TableContents"/>
              <w:bidi w:val="0"/>
              <w:spacing w:before="0" w:after="283"/>
              <w:jc w:val="left"/>
              <w:rPr>
                <w:sz w:val="20"/>
              </w:rPr>
            </w:pPr>
            <w:r>
              <w:rPr>
                <w:sz w:val="20"/>
              </w:rPr>
              <w:t>GCL Global Pte. Ltd.</w:t>
            </w:r>
          </w:p>
        </w:tc>
      </w:tr>
      <w:tr>
        <w:trPr/>
        <w:tc>
          <w:tcPr>
            <w:tcW w:w="4520" w:type="dxa"/>
            <w:tcBorders/>
            <w:shd w:fill="CCEEFF" w:val="clear"/>
            <w:vAlign w:val="center"/>
          </w:tcPr>
          <w:p>
            <w:pPr>
              <w:pStyle w:val="TableContents"/>
              <w:bidi w:val="0"/>
              <w:spacing w:before="0" w:after="283"/>
              <w:jc w:val="left"/>
              <w:rPr>
                <w:sz w:val="20"/>
              </w:rPr>
            </w:pPr>
            <w:r>
              <w:rPr>
                <w:sz w:val="20"/>
              </w:rPr>
              <w:t>2Game Digital Limited</w:t>
            </w:r>
          </w:p>
        </w:tc>
      </w:tr>
      <w:tr>
        <w:trPr/>
        <w:tc>
          <w:tcPr>
            <w:tcW w:w="4520" w:type="dxa"/>
            <w:tcBorders/>
            <w:shd w:fill="FFFFFF" w:val="clear"/>
            <w:vAlign w:val="center"/>
          </w:tcPr>
          <w:p>
            <w:pPr>
              <w:pStyle w:val="TableContents"/>
              <w:bidi w:val="0"/>
              <w:spacing w:before="0" w:after="283"/>
              <w:jc w:val="left"/>
              <w:rPr>
                <w:sz w:val="20"/>
              </w:rPr>
            </w:pPr>
            <w:r>
              <w:rPr>
                <w:sz w:val="20"/>
              </w:rPr>
              <w:t>2 Game Pro Ltda.</w:t>
            </w:r>
          </w:p>
        </w:tc>
      </w:tr>
      <w:tr>
        <w:trPr/>
        <w:tc>
          <w:tcPr>
            <w:tcW w:w="4520" w:type="dxa"/>
            <w:tcBorders/>
            <w:shd w:fill="CCEEFF" w:val="clear"/>
            <w:vAlign w:val="center"/>
          </w:tcPr>
          <w:p>
            <w:pPr>
              <w:pStyle w:val="TableContents"/>
              <w:bidi w:val="0"/>
              <w:spacing w:before="0" w:after="283"/>
              <w:jc w:val="left"/>
              <w:rPr>
                <w:sz w:val="20"/>
              </w:rPr>
            </w:pPr>
            <w:r>
              <w:rPr>
                <w:sz w:val="20"/>
              </w:rPr>
              <w:t>2Game Digital DMCC</w:t>
            </w:r>
          </w:p>
        </w:tc>
      </w:tr>
      <w:tr>
        <w:trPr/>
        <w:tc>
          <w:tcPr>
            <w:tcW w:w="4520" w:type="dxa"/>
            <w:tcBorders/>
            <w:shd w:fill="FFFFFF" w:val="clear"/>
            <w:vAlign w:val="center"/>
          </w:tcPr>
          <w:p>
            <w:pPr>
              <w:pStyle w:val="TableContents"/>
              <w:bidi w:val="0"/>
              <w:spacing w:before="0" w:after="283"/>
              <w:jc w:val="left"/>
              <w:rPr>
                <w:sz w:val="20"/>
              </w:rPr>
            </w:pPr>
            <w:r>
              <w:rPr>
                <w:sz w:val="20"/>
              </w:rPr>
              <w:t>4Divinity Pte. Ltd.</w:t>
            </w:r>
          </w:p>
        </w:tc>
      </w:tr>
      <w:tr>
        <w:trPr/>
        <w:tc>
          <w:tcPr>
            <w:tcW w:w="4520" w:type="dxa"/>
            <w:tcBorders/>
            <w:shd w:fill="CCEEFF" w:val="clear"/>
            <w:vAlign w:val="center"/>
          </w:tcPr>
          <w:p>
            <w:pPr>
              <w:pStyle w:val="TableContents"/>
              <w:bidi w:val="0"/>
              <w:spacing w:before="0" w:after="283"/>
              <w:jc w:val="left"/>
              <w:rPr>
                <w:sz w:val="20"/>
              </w:rPr>
            </w:pPr>
            <w:r>
              <w:rPr>
                <w:sz w:val="20"/>
              </w:rPr>
              <w:t>4Divinity UK Ltd.</w:t>
            </w:r>
          </w:p>
        </w:tc>
      </w:tr>
      <w:tr>
        <w:trPr/>
        <w:tc>
          <w:tcPr>
            <w:tcW w:w="4520" w:type="dxa"/>
            <w:tcBorders/>
            <w:shd w:fill="FFFFFF" w:val="clear"/>
            <w:vAlign w:val="center"/>
          </w:tcPr>
          <w:p>
            <w:pPr>
              <w:pStyle w:val="TableContents"/>
              <w:bidi w:val="0"/>
              <w:spacing w:before="0" w:after="283"/>
              <w:jc w:val="left"/>
              <w:rPr>
                <w:sz w:val="20"/>
              </w:rPr>
            </w:pPr>
            <w:r>
              <w:rPr>
                <w:sz w:val="20"/>
              </w:rPr>
              <w:t>4Divinity HK Ltd.</w:t>
            </w:r>
          </w:p>
        </w:tc>
      </w:tr>
      <w:tr>
        <w:trPr/>
        <w:tc>
          <w:tcPr>
            <w:tcW w:w="4520" w:type="dxa"/>
            <w:tcBorders/>
            <w:shd w:fill="CCEEFF" w:val="clear"/>
            <w:vAlign w:val="center"/>
          </w:tcPr>
          <w:p>
            <w:pPr>
              <w:pStyle w:val="TableContents"/>
              <w:bidi w:val="0"/>
              <w:spacing w:before="0" w:after="283"/>
              <w:jc w:val="left"/>
              <w:rPr>
                <w:sz w:val="20"/>
              </w:rPr>
            </w:pPr>
            <w:r>
              <w:rPr>
                <w:sz w:val="20"/>
              </w:rPr>
              <w:t>4Divinity Japan Ltd.</w:t>
            </w:r>
          </w:p>
        </w:tc>
      </w:tr>
      <w:tr>
        <w:trPr/>
        <w:tc>
          <w:tcPr>
            <w:tcW w:w="4520" w:type="dxa"/>
            <w:tcBorders/>
            <w:shd w:fill="FFFFFF" w:val="clear"/>
            <w:vAlign w:val="center"/>
          </w:tcPr>
          <w:p>
            <w:pPr>
              <w:pStyle w:val="TableContents"/>
              <w:bidi w:val="0"/>
              <w:spacing w:before="0" w:after="283"/>
              <w:jc w:val="left"/>
              <w:rPr>
                <w:sz w:val="20"/>
              </w:rPr>
            </w:pPr>
            <w:r>
              <w:rPr>
                <w:sz w:val="20"/>
              </w:rPr>
              <w:t>Digital Hub Pte. Ltd.</w:t>
            </w:r>
          </w:p>
        </w:tc>
      </w:tr>
      <w:tr>
        <w:trPr/>
        <w:tc>
          <w:tcPr>
            <w:tcW w:w="4520" w:type="dxa"/>
            <w:tcBorders/>
            <w:shd w:fill="CCEEFF" w:val="clear"/>
            <w:vAlign w:val="center"/>
          </w:tcPr>
          <w:p>
            <w:pPr>
              <w:pStyle w:val="TableContents"/>
              <w:bidi w:val="0"/>
              <w:spacing w:before="0" w:after="283"/>
              <w:jc w:val="left"/>
              <w:rPr>
                <w:sz w:val="20"/>
              </w:rPr>
            </w:pPr>
            <w:r>
              <w:rPr>
                <w:sz w:val="20"/>
              </w:rPr>
              <w:t>GCL Taiwan Co., Ltd.</w:t>
            </w:r>
          </w:p>
        </w:tc>
      </w:tr>
      <w:tr>
        <w:trPr/>
        <w:tc>
          <w:tcPr>
            <w:tcW w:w="4520" w:type="dxa"/>
            <w:tcBorders/>
            <w:shd w:fill="FFFFFF" w:val="clear"/>
            <w:vAlign w:val="center"/>
          </w:tcPr>
          <w:p>
            <w:pPr>
              <w:pStyle w:val="TableContents"/>
              <w:bidi w:val="0"/>
              <w:spacing w:before="0" w:after="283"/>
              <w:jc w:val="left"/>
              <w:rPr>
                <w:sz w:val="20"/>
              </w:rPr>
            </w:pPr>
            <w:r>
              <w:rPr>
                <w:sz w:val="20"/>
              </w:rPr>
              <w:t>Epicsoft Asia Pte. Ltd.</w:t>
            </w:r>
          </w:p>
        </w:tc>
      </w:tr>
      <w:tr>
        <w:trPr/>
        <w:tc>
          <w:tcPr>
            <w:tcW w:w="4520" w:type="dxa"/>
            <w:tcBorders/>
            <w:shd w:fill="CCEEFF" w:val="clear"/>
            <w:vAlign w:val="center"/>
          </w:tcPr>
          <w:p>
            <w:pPr>
              <w:pStyle w:val="TableContents"/>
              <w:bidi w:val="0"/>
              <w:spacing w:before="0" w:after="283"/>
              <w:jc w:val="left"/>
              <w:rPr>
                <w:sz w:val="20"/>
              </w:rPr>
            </w:pPr>
            <w:r>
              <w:rPr>
                <w:sz w:val="20"/>
              </w:rPr>
              <w:t>Epicsoft (Hong Kong) Limited</w:t>
            </w:r>
          </w:p>
        </w:tc>
      </w:tr>
      <w:tr>
        <w:trPr/>
        <w:tc>
          <w:tcPr>
            <w:tcW w:w="4520" w:type="dxa"/>
            <w:tcBorders/>
            <w:shd w:fill="FFFFFF" w:val="clear"/>
            <w:vAlign w:val="center"/>
          </w:tcPr>
          <w:p>
            <w:pPr>
              <w:pStyle w:val="TableContents"/>
              <w:bidi w:val="0"/>
              <w:spacing w:before="0" w:after="283"/>
              <w:jc w:val="left"/>
              <w:rPr>
                <w:sz w:val="20"/>
              </w:rPr>
            </w:pPr>
            <w:r>
              <w:rPr>
                <w:sz w:val="20"/>
              </w:rPr>
              <w:t>Epicsoft Malaysia Sdn. Bhd.</w:t>
            </w:r>
          </w:p>
        </w:tc>
      </w:tr>
      <w:tr>
        <w:trPr/>
        <w:tc>
          <w:tcPr>
            <w:tcW w:w="4520" w:type="dxa"/>
            <w:tcBorders/>
            <w:shd w:fill="CCEEFF" w:val="clear"/>
            <w:vAlign w:val="center"/>
          </w:tcPr>
          <w:p>
            <w:pPr>
              <w:pStyle w:val="TableContents"/>
              <w:bidi w:val="0"/>
              <w:spacing w:before="0" w:after="283"/>
              <w:jc w:val="left"/>
              <w:rPr>
                <w:sz w:val="20"/>
              </w:rPr>
            </w:pPr>
            <w:r>
              <w:rPr>
                <w:sz w:val="20"/>
              </w:rPr>
              <w:t>Hainan GCL Technology Co. Ltd.</w:t>
            </w:r>
          </w:p>
        </w:tc>
      </w:tr>
      <w:tr>
        <w:trPr/>
        <w:tc>
          <w:tcPr>
            <w:tcW w:w="4520" w:type="dxa"/>
            <w:tcBorders/>
            <w:shd w:fill="FFFFFF" w:val="clear"/>
            <w:vAlign w:val="center"/>
          </w:tcPr>
          <w:p>
            <w:pPr>
              <w:pStyle w:val="TableContents"/>
              <w:bidi w:val="0"/>
              <w:spacing w:before="0" w:after="283"/>
              <w:jc w:val="left"/>
              <w:rPr>
                <w:sz w:val="20"/>
              </w:rPr>
            </w:pPr>
            <w:r>
              <w:rPr>
                <w:sz w:val="20"/>
              </w:rPr>
              <w:t>Martiangear Pte. Ltd.</w:t>
            </w:r>
          </w:p>
        </w:tc>
      </w:tr>
      <w:tr>
        <w:trPr/>
        <w:tc>
          <w:tcPr>
            <w:tcW w:w="4520" w:type="dxa"/>
            <w:tcBorders/>
            <w:shd w:fill="CCEEFF" w:val="clear"/>
            <w:vAlign w:val="center"/>
          </w:tcPr>
          <w:p>
            <w:pPr>
              <w:pStyle w:val="TableContents"/>
              <w:bidi w:val="0"/>
              <w:spacing w:before="0" w:after="283"/>
              <w:jc w:val="left"/>
              <w:rPr>
                <w:sz w:val="20"/>
              </w:rPr>
            </w:pPr>
            <w:r>
              <w:rPr>
                <w:sz w:val="20"/>
              </w:rPr>
              <w:t>Starry Jewelry Pte. Ltd.</w:t>
            </w:r>
          </w:p>
        </w:tc>
      </w:tr>
      <w:tr>
        <w:trPr/>
        <w:tc>
          <w:tcPr>
            <w:tcW w:w="4520" w:type="dxa"/>
            <w:tcBorders/>
            <w:shd w:fill="FFFFFF" w:val="clear"/>
            <w:vAlign w:val="center"/>
          </w:tcPr>
          <w:p>
            <w:pPr>
              <w:pStyle w:val="TableContents"/>
              <w:bidi w:val="0"/>
              <w:spacing w:before="0" w:after="283"/>
              <w:jc w:val="left"/>
              <w:rPr>
                <w:sz w:val="20"/>
              </w:rPr>
            </w:pPr>
            <w:r>
              <w:rPr>
                <w:sz w:val="20"/>
              </w:rPr>
              <w:t>Titan Digital Media Pte. Ltd.</w:t>
            </w:r>
          </w:p>
        </w:tc>
      </w:tr>
      <w:tr>
        <w:trPr/>
        <w:tc>
          <w:tcPr>
            <w:tcW w:w="4520" w:type="dxa"/>
            <w:tcBorders/>
            <w:shd w:fill="CCEEFF" w:val="clear"/>
            <w:vAlign w:val="center"/>
          </w:tcPr>
          <w:p>
            <w:pPr>
              <w:pStyle w:val="TableContents"/>
              <w:bidi w:val="0"/>
              <w:spacing w:before="0" w:after="283"/>
              <w:jc w:val="left"/>
              <w:rPr>
                <w:sz w:val="20"/>
              </w:rPr>
            </w:pPr>
            <w:r>
              <w:rPr>
                <w:sz w:val="20"/>
              </w:rPr>
              <w:t>Ban Leong Technologies Pte Ltd</w:t>
            </w:r>
          </w:p>
        </w:tc>
      </w:tr>
      <w:tr>
        <w:trPr/>
        <w:tc>
          <w:tcPr>
            <w:tcW w:w="4520" w:type="dxa"/>
            <w:tcBorders/>
            <w:shd w:fill="FFFFFF" w:val="clear"/>
            <w:vAlign w:val="center"/>
          </w:tcPr>
          <w:p>
            <w:pPr>
              <w:pStyle w:val="TableContents"/>
              <w:bidi w:val="0"/>
              <w:spacing w:before="0" w:after="283"/>
              <w:jc w:val="left"/>
              <w:rPr>
                <w:sz w:val="20"/>
              </w:rPr>
            </w:pPr>
            <w:r>
              <w:rPr>
                <w:sz w:val="20"/>
              </w:rPr>
              <w:t>Ban Leong Technologies Sdn Bhd</w:t>
            </w:r>
          </w:p>
        </w:tc>
      </w:tr>
      <w:tr>
        <w:trPr/>
        <w:tc>
          <w:tcPr>
            <w:tcW w:w="4520" w:type="dxa"/>
            <w:tcBorders/>
            <w:shd w:fill="CCEEFF" w:val="clear"/>
            <w:vAlign w:val="center"/>
          </w:tcPr>
          <w:p>
            <w:pPr>
              <w:pStyle w:val="TableContents"/>
              <w:bidi w:val="0"/>
              <w:spacing w:before="0" w:after="283"/>
              <w:jc w:val="left"/>
              <w:rPr>
                <w:sz w:val="20"/>
              </w:rPr>
            </w:pPr>
            <w:r>
              <w:rPr>
                <w:sz w:val="20"/>
              </w:rPr>
              <w:t>Ban Leong Chin Inter Co., Ltd.</w:t>
            </w:r>
          </w:p>
        </w:tc>
      </w:tr>
      <w:tr>
        <w:trPr/>
        <w:tc>
          <w:tcPr>
            <w:tcW w:w="4520" w:type="dxa"/>
            <w:tcBorders/>
            <w:shd w:fill="FFFFFF" w:val="clear"/>
            <w:vAlign w:val="center"/>
          </w:tcPr>
          <w:p>
            <w:pPr>
              <w:pStyle w:val="TableContents"/>
              <w:bidi w:val="0"/>
              <w:spacing w:before="0" w:after="283"/>
              <w:jc w:val="left"/>
              <w:rPr>
                <w:sz w:val="20"/>
              </w:rPr>
            </w:pPr>
            <w:r>
              <w:rPr>
                <w:sz w:val="20"/>
              </w:rPr>
              <w:t>AV Labs International Pte Ltd</w:t>
            </w:r>
          </w:p>
        </w:tc>
      </w:tr>
      <w:tr>
        <w:trPr/>
        <w:tc>
          <w:tcPr>
            <w:tcW w:w="4520" w:type="dxa"/>
            <w:tcBorders/>
            <w:shd w:fill="CCEEFF" w:val="clear"/>
            <w:vAlign w:val="center"/>
          </w:tcPr>
          <w:p>
            <w:pPr>
              <w:pStyle w:val="TableContents"/>
              <w:bidi w:val="0"/>
              <w:spacing w:before="0" w:after="283"/>
              <w:jc w:val="left"/>
              <w:rPr>
                <w:sz w:val="20"/>
              </w:rPr>
            </w:pPr>
            <w:r>
              <w:rPr>
                <w:sz w:val="20"/>
              </w:rPr>
              <w:t>Shenfang Universe (Shanghai) Technology Co., Ltd.</w:t>
            </w:r>
          </w:p>
        </w:tc>
      </w:tr>
      <w:tr>
        <w:trPr/>
        <w:tc>
          <w:tcPr>
            <w:tcW w:w="4520" w:type="dxa"/>
            <w:tcBorders/>
            <w:shd w:fill="FFFFFF" w:val="clear"/>
            <w:vAlign w:val="center"/>
          </w:tcPr>
          <w:p>
            <w:pPr>
              <w:pStyle w:val="TableContents"/>
              <w:bidi w:val="0"/>
              <w:spacing w:before="0" w:after="283"/>
              <w:jc w:val="left"/>
              <w:rPr>
                <w:sz w:val="20"/>
              </w:rPr>
            </w:pPr>
            <w:r>
              <w:rPr>
                <w:sz w:val="20"/>
              </w:rPr>
              <w:t>Shenfang Interactive (Hangzhou) Technology Co., Ltd.</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www.sec.gov/Archives/edgar/data/2002045/000121390025017448/ea023214801ex1-1_gclglobal.htm" TargetMode="External"/><Relationship Id="rId14" Type="http://schemas.openxmlformats.org/officeDocument/2006/relationships/hyperlink" Target="http://www.sec.gov/Archives/edgar/data/2002045/000121390025046606/ea024287701ex4-1_gclglobal.htm" TargetMode="External"/><Relationship Id="rId15" Type="http://schemas.openxmlformats.org/officeDocument/2006/relationships/hyperlink" Target="http://www.sec.gov/Archives/edgar/data/2002045/000121390025062056/ea024724601ex4-1_gclglobal.htm" TargetMode="External"/><Relationship Id="rId16" Type="http://schemas.openxmlformats.org/officeDocument/2006/relationships/hyperlink" Target="http://www.sec.gov/Archives/edgar/data/2002045/000121390025068452/ea025058001ex4-1_gclglobal.htm" TargetMode="External"/><Relationship Id="rId17" Type="http://schemas.openxmlformats.org/officeDocument/2006/relationships/hyperlink" Target="http://www.sec.gov/Archives/edgar/data/2002045/000121390026048866/ea028755101ex4-1.htm" TargetMode="External"/><Relationship Id="rId18" Type="http://schemas.openxmlformats.org/officeDocument/2006/relationships/hyperlink" Target="http://www.sec.gov/Archives/edgar/data/2002045/000121390025017448/ea023214801ex10-1_gclglobal.htm" TargetMode="External"/><Relationship Id="rId19" Type="http://schemas.openxmlformats.org/officeDocument/2006/relationships/hyperlink" Target="http://www.sec.gov/Archives/edgar/data/2002045/000121390025017448/ea023214801ex10-2_gclglobal.htm" TargetMode="External"/><Relationship Id="rId20" Type="http://schemas.openxmlformats.org/officeDocument/2006/relationships/hyperlink" Target="http://www.sec.gov/Archives/edgar/data/2002045/000121390025017448/ea023214801ex10-3_gclglobal.htm" TargetMode="External"/><Relationship Id="rId21" Type="http://schemas.openxmlformats.org/officeDocument/2006/relationships/hyperlink" Target="http://www.sec.gov/Archives/edgar/data/2002045/000121390025017448/ea023214801ex10-4_gclglobal.htm" TargetMode="External"/><Relationship Id="rId22" Type="http://schemas.openxmlformats.org/officeDocument/2006/relationships/hyperlink" Target="http://www.sec.gov/Archives/edgar/data/1847607/000110465924109871/tm2425993d1_ex10-1.htm" TargetMode="External"/><Relationship Id="rId23" Type="http://schemas.openxmlformats.org/officeDocument/2006/relationships/hyperlink" Target="http://www.sec.gov/Archives/edgar/data/1847607/000110465925009455/tm255401d1_ex10-1.htm" TargetMode="External"/><Relationship Id="rId24" Type="http://schemas.openxmlformats.org/officeDocument/2006/relationships/hyperlink" Target="http://www.sec.gov/Archives/edgar/data/2002045/000110465924130239/tm2332564d21_ex10-24.htm" TargetMode="External"/><Relationship Id="rId25" Type="http://schemas.openxmlformats.org/officeDocument/2006/relationships/hyperlink" Target="http://www.sec.gov/Archives/edgar/data/2002045/000121390025069672/ea0246480ex10-6i_gclglobal.htm" TargetMode="External"/><Relationship Id="rId26" Type="http://schemas.openxmlformats.org/officeDocument/2006/relationships/hyperlink" Target="http://www.sec.gov/Archives/edgar/data/2002045/000121390026009911/ea027172301ex99-4_gcl.htm" TargetMode="External"/><Relationship Id="rId27" Type="http://schemas.openxmlformats.org/officeDocument/2006/relationships/hyperlink" Target="http://www.sec.gov/Archives/edgar/data/2002045/000121390025069672/ea024648001ex10-7_gclglobal.htm" TargetMode="External"/><Relationship Id="rId28" Type="http://schemas.openxmlformats.org/officeDocument/2006/relationships/hyperlink" Target="http://www.sec.gov/Archives/edgar/data/2002045/000121390026048866/ea028755101ex10-1.htm" TargetMode="External"/><Relationship Id="rId29" Type="http://schemas.openxmlformats.org/officeDocument/2006/relationships/hyperlink" Target="http://www.sec.gov/Archives/edgar/data/2002045/000121390025069672/ea024648001ex10-8_gclglobal.htm" TargetMode="External"/><Relationship Id="rId30" Type="http://schemas.openxmlformats.org/officeDocument/2006/relationships/hyperlink" Target="http://www.sec.gov/Archives/edgar/data/2002045/000110465924076178/tm2332564d5_ex10-5.htm" TargetMode="External"/><Relationship Id="rId31" Type="http://schemas.openxmlformats.org/officeDocument/2006/relationships/hyperlink" Target="http://www.sec.gov/Archives/edgar/data/2002045/000110465924076178/tm2332564d5_ex10-6.htm" TargetMode="External"/><Relationship Id="rId32" Type="http://schemas.openxmlformats.org/officeDocument/2006/relationships/hyperlink" Target="http://www.sec.gov/Archives/edgar/data/2002045/000110465924076178/tm2332564d5_ex10-7.htm" TargetMode="External"/><Relationship Id="rId33" Type="http://schemas.openxmlformats.org/officeDocument/2006/relationships/hyperlink" Target="http://www.sec.gov/Archives/edgar/data/2002045/000121390025069672/ea024648001ex10-12_gclglobal.htm" TargetMode="External"/><Relationship Id="rId34" Type="http://schemas.openxmlformats.org/officeDocument/2006/relationships/hyperlink" Target="http://www.sec.gov/Archives/edgar/data/2002045/000121390025069672/ea024648001ex10-13_gclglobal.htm" TargetMode="External"/><Relationship Id="rId35" Type="http://schemas.openxmlformats.org/officeDocument/2006/relationships/hyperlink" Target="http://www.sec.gov/Archives/edgar/data/2002045/000121390025017448/ea023214801ex10-6_gclglobal.htm" TargetMode="External"/><Relationship Id="rId36" Type="http://schemas.openxmlformats.org/officeDocument/2006/relationships/hyperlink" Target="http://www.sec.gov/Archives/edgar/data/2002045/000121390025038431/ea023966401ex4-2_gclglobal.htm" TargetMode="External"/><Relationship Id="rId37" Type="http://schemas.openxmlformats.org/officeDocument/2006/relationships/hyperlink" Target="http://www.sec.gov/Archives/edgar/data/2002045/000121390026009911/ea027172301ex99-4_gcl.htm" TargetMode="External"/><Relationship Id="rId38" Type="http://schemas.openxmlformats.org/officeDocument/2006/relationships/hyperlink" Target="http://www.sec.gov/Archives/edgar/data/2002045/000121390025017448/ea023214801ex14-1_gclglobal.htm" TargetMode="External"/><Relationship Id="rId39" Type="http://schemas.openxmlformats.org/officeDocument/2006/relationships/hyperlink" Target="http://www.sec.gov/Archives/edgar/data/2002045/000121390025017448/ea023214801ex99-5_gclglobal.htm" TargetMode="External"/><Relationship Id="rId40" Type="http://schemas.openxmlformats.org/officeDocument/2006/relationships/image" Target="media/image12.jpeg"/><Relationship Id="rId41" Type="http://schemas.openxmlformats.org/officeDocument/2006/relationships/image" Target="media/image12.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112449</Words>
  <Characters>620143</Characters>
  <CharactersWithSpaces>738015</CharactersWithSpaces>
  <Paragraphs>18515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